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07BF0" w:rsidP="75606142">
      <w:pPr>
        <w:spacing w:after="0" w:line="240" w:lineRule="auto"/>
        <w:contextualSpacing/>
        <w:jc w:val="center"/>
      </w:pPr>
      <w:r>
        <w:rPr>
          <w:noProof/>
        </w:rPr>
        <w:drawing>
          <wp:inline distT="0" distB="0" distL="0" distR="0">
            <wp:extent cx="3876675" cy="540006"/>
            <wp:effectExtent l="0" t="0" r="0" b="0"/>
            <wp:docPr id="14797065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706574" name="Picture 1479706574"/>
                    <pic:cNvPicPr/>
                  </pic:nvPicPr>
                  <pic:blipFill>
                    <a:blip xmlns:r="http://schemas.openxmlformats.org/officeDocument/2006/relationships" r:embed="rId4">
                      <a:extLst>
                        <a:ext uri="{28A0092B-C50C-407E-A947-70E740481C1C}">
                          <a14:useLocalDpi xmlns:a14="http://schemas.microsoft.com/office/drawing/2010/main"/>
                        </a:ext>
                      </a:extLst>
                    </a:blip>
                    <a:stretch>
                      <a:fillRect/>
                    </a:stretch>
                  </pic:blipFill>
                  <pic:spPr>
                    <a:xfrm>
                      <a:off x="0" y="0"/>
                      <a:ext cx="3876675" cy="540006"/>
                    </a:xfrm>
                    <a:prstGeom prst="rect">
                      <a:avLst/>
                    </a:prstGeom>
                  </pic:spPr>
                </pic:pic>
              </a:graphicData>
            </a:graphic>
          </wp:inline>
        </w:drawing>
      </w:r>
    </w:p>
    <w:p w:rsidR="00DB705B" w:rsidP="006C7647">
      <w:pPr>
        <w:spacing w:after="0" w:line="240" w:lineRule="auto"/>
        <w:contextualSpacing/>
        <w:jc w:val="center"/>
        <w:rPr>
          <w:sz w:val="40"/>
          <w:szCs w:val="40"/>
        </w:rPr>
      </w:pPr>
    </w:p>
    <w:p w:rsidR="00820EAE" w:rsidRPr="00820EAE" w:rsidP="006C7647">
      <w:pPr>
        <w:spacing w:after="0" w:line="240" w:lineRule="auto"/>
        <w:contextualSpacing/>
        <w:jc w:val="center"/>
        <w:rPr>
          <w:sz w:val="32"/>
          <w:szCs w:val="32"/>
        </w:rPr>
      </w:pPr>
      <w:r w:rsidRPr="00820EAE">
        <w:rPr>
          <w:sz w:val="32"/>
          <w:szCs w:val="32"/>
        </w:rPr>
        <w:fldChar w:fldCharType="begin"/>
      </w:r>
      <w:r w:rsidRPr="00820EAE">
        <w:rPr>
          <w:sz w:val="32"/>
          <w:szCs w:val="32"/>
        </w:rPr>
        <w:instrText xml:space="preserve"> IF </w:instrText>
      </w:r>
      <w:r w:rsidRPr="00820EAE">
        <w:rPr>
          <w:sz w:val="32"/>
          <w:szCs w:val="32"/>
        </w:rPr>
        <w:instrText>107019</w:instrText>
      </w:r>
      <w:r w:rsidRPr="00820EAE">
        <w:rPr>
          <w:sz w:val="32"/>
          <w:szCs w:val="32"/>
        </w:rPr>
        <w:instrText xml:space="preserve"> &lt;&gt; "" "</w:instrText>
      </w:r>
      <w:r w:rsidRPr="00820EAE">
        <w:rPr>
          <w:sz w:val="40"/>
          <w:szCs w:val="40"/>
        </w:rPr>
        <w:instrText>Innovation Ground Rounds</w:instrText>
      </w:r>
    </w:p>
    <w:p w:rsidR="00875345" w:rsidRPr="00820EAE" w:rsidP="006C7647">
      <w:pPr>
        <w:spacing w:after="0" w:line="240" w:lineRule="auto"/>
        <w:contextualSpacing/>
        <w:jc w:val="center"/>
        <w:rPr>
          <w:noProof/>
          <w:sz w:val="32"/>
          <w:szCs w:val="32"/>
        </w:rPr>
      </w:pPr>
      <w:r w:rsidRPr="00820EAE">
        <w:rPr>
          <w:sz w:val="32"/>
          <w:szCs w:val="32"/>
        </w:rPr>
        <w:instrText>Innovation Ground Rounds - 8/21/2026 Transforming Healthcare through Digital Medicine: Right Care for the Right Patient at the Right Place</w:instrText>
      </w:r>
      <w:r w:rsidRPr="00820EAE">
        <w:rPr>
          <w:sz w:val="32"/>
          <w:szCs w:val="32"/>
        </w:rPr>
        <w:instrText>" "</w:instrText>
      </w:r>
      <w:r>
        <w:rPr>
          <w:sz w:val="40"/>
          <w:szCs w:val="40"/>
        </w:rPr>
        <w:fldChar w:fldCharType="begin"/>
      </w:r>
      <w:r>
        <w:rPr>
          <w:sz w:val="40"/>
          <w:szCs w:val="40"/>
        </w:rPr>
        <w:instrText xml:space="preserve"> MERGEFIELD EventName </w:instrText>
      </w:r>
      <w:r>
        <w:rPr>
          <w:sz w:val="40"/>
          <w:szCs w:val="40"/>
        </w:rPr>
        <w:fldChar w:fldCharType="separate"/>
      </w:r>
      <w:r>
        <w:rPr>
          <w:sz w:val="40"/>
          <w:szCs w:val="40"/>
        </w:rPr>
        <w:fldChar w:fldCharType="end"/>
      </w:r>
      <w:r w:rsidRPr="00820EAE">
        <w:rPr>
          <w:sz w:val="32"/>
          <w:szCs w:val="32"/>
        </w:rPr>
        <w:instrText xml:space="preserve">" </w:instrText>
      </w:r>
      <w:r w:rsidRPr="00820EAE">
        <w:rPr>
          <w:sz w:val="32"/>
          <w:szCs w:val="32"/>
        </w:rPr>
        <w:fldChar w:fldCharType="separate"/>
      </w:r>
      <w:r w:rsidRPr="00820EAE">
        <w:rPr>
          <w:sz w:val="40"/>
          <w:szCs w:val="40"/>
        </w:rPr>
        <w:t>Innovation Ground Rounds</w:t>
      </w:r>
    </w:p>
    <w:p w:rsidR="00820EAE" w:rsidRPr="00820EAE" w:rsidP="006C7647">
      <w:pPr>
        <w:spacing w:after="0" w:line="240" w:lineRule="auto"/>
        <w:contextualSpacing/>
        <w:jc w:val="center"/>
        <w:rPr>
          <w:sz w:val="32"/>
          <w:szCs w:val="32"/>
        </w:rPr>
      </w:pPr>
      <w:r w:rsidRPr="00820EAE">
        <w:rPr>
          <w:sz w:val="32"/>
          <w:szCs w:val="32"/>
        </w:rPr>
        <w:t>Innovation Ground Rounds - 8/21/2026 Transforming Healthcare through Digital Medicine: Right Care for the Right Patient at the Right Place</w:t>
      </w:r>
      <w:r w:rsidRPr="00820EAE">
        <w:rPr>
          <w:sz w:val="32"/>
          <w:szCs w:val="32"/>
        </w:rPr>
        <w:fldChar w:fldCharType="end"/>
      </w:r>
      <w:r w:rsidRPr="00EA029C" w:rsidR="00B3131A">
        <w:rPr>
          <w:rFonts w:ascii="Arial" w:hAnsi="Arial"/>
          <w:bCs/>
          <w:noProof/>
          <w:color w:val="17365D" w:themeColor="text2" w:themeShade="BF"/>
        </w:rPr>
        <w:fldChar w:fldCharType="begin"/>
      </w:r>
      <w:r w:rsidRPr="00EA029C" w:rsidR="00B3131A">
        <w:rPr>
          <w:rFonts w:ascii="Arial" w:hAnsi="Arial"/>
          <w:bCs/>
          <w:noProof/>
          <w:color w:val="17365D" w:themeColor="text2" w:themeShade="BF"/>
        </w:rPr>
        <w:instrText xml:space="preserve"> IF </w:instrText>
      </w:r>
      <w:r w:rsidR="004021DF">
        <w:rPr>
          <w:rFonts w:ascii="Arial" w:hAnsi="Arial"/>
          <w:bCs/>
          <w:noProof/>
          <w:color w:val="17365D" w:themeColor="text2" w:themeShade="BF"/>
        </w:rPr>
        <w:instrText>"</w:instrText>
      </w:r>
    </w:p>
    <w:p>
      <w:pPr>
        <w:bidi w:val="0"/>
        <w:spacing w:after="280" w:afterAutospacing="1"/>
        <w:jc w:val="left"/>
        <w:rPr>
          <w:rtl w:val="0"/>
        </w:rPr>
      </w:pPr>
      <w:r>
        <w:rPr>
          <w:rtl w:val="0"/>
        </w:rPr>
        <w:instrText>Innovation Grand Rounds is an interprofessional educational series designed to help MaineHealth care team members and community participants identify unmet healthcare needs, understand how innovation happens, and explore how to take the first steps toward improving care delivery. At its core, the series builds a culture of innovation mindset and capabilities—equipping participants to think creatively, collaborate effectively, and lead change with purpose. Innovation Grand Rounds features leading innovators in healthcare, showcasing their real-world innovation journeys—from identifying unmet needs to developing and implementing solutions. Faculty include clinicians, innovation leaders, and subject matter experts actively advancing innovation across MaineHealth. Through case-based presentations, real-world examples, and interactive discussions, participants gain practical understanding of key innovation concepts, including: Identifying and framing meaningful healthcare challenges Understanding user discovery and stakeholder engagement to strengthen ideation Recognizing value and feasibility in early-stage solutions Navigating pathways for advancing ideas, including technology disclosure and intellectual property considerations Exploring methods for testing and refining solutions, including when clinical research is required Rather than serving as a forum to fully develop projects, this series focuses on building awareness, strengthening foundational skills, and activating participants to take the next step. Importantly, the series connects participants to the MaineHealth Innovation lifecycle, helping them understand how ideas evolve—from problem identification and concept exploration to validation, development, and implementation—while highlighting clear entry points for care team members to begin and advance their innovation journey.</w:instrText>
      </w:r>
    </w:p>
    <w:p>
      <w:pPr>
        <w:bidi w:val="0"/>
        <w:spacing w:after="280" w:afterAutospacing="1"/>
        <w:jc w:val="left"/>
        <w:rPr>
          <w:rtl w:val="0"/>
        </w:rPr>
      </w:pPr>
      <w:r>
        <w:rPr>
          <w:rtl w:val="0"/>
        </w:rPr>
        <w:instrText xml:space="preserve">Please sign up for this session at this link: </w:instrText>
      </w:r>
      <w:r>
        <w:rPr>
          <w:rtl w:val="0"/>
        </w:rPr>
        <w:fldChar w:fldCharType="begin"/>
      </w:r>
      <w:r>
        <w:rPr>
          <w:rtl w:val="0"/>
        </w:rPr>
        <w:instrText xml:space="preserve"> HYPERLINK "https://form.jotform.com/261973813112051" \t "_blank" </w:instrText>
      </w:r>
      <w:r>
        <w:rPr>
          <w:rtl w:val="0"/>
        </w:rPr>
        <w:fldChar w:fldCharType="separate"/>
      </w:r>
      <w:r>
        <w:rPr>
          <w:color w:val="0000FF"/>
          <w:u w:val="single"/>
          <w:rtl w:val="0"/>
        </w:rPr>
        <w:instrText>https://form.jotform.com/261973813112051</w:instrText>
      </w:r>
      <w:r>
        <w:rPr>
          <w:rtl w:val="0"/>
        </w:rPr>
        <w:fldChar w:fldCharType="end"/>
      </w:r>
    </w:p>
    <w:p w:rsidR="00B3131A" w:rsidRPr="00EA029C">
      <w:pPr>
        <w:bidi w:val="0"/>
        <w:spacing w:after="280" w:afterAutospacing="1"/>
        <w:jc w:val="left"/>
        <w:rPr>
          <w:rFonts w:ascii="Arial" w:hAnsi="Arial"/>
          <w:bCs/>
          <w:noProof/>
          <w:color w:val="17365D" w:themeColor="text2" w:themeShade="BF"/>
        </w:rPr>
      </w:pPr>
      <w:r w:rsidR="004021DF">
        <w:rPr>
          <w:rFonts w:ascii="Arial" w:hAnsi="Arial"/>
          <w:bCs/>
          <w:noProof/>
          <w:color w:val="17365D" w:themeColor="text2" w:themeShade="BF"/>
        </w:rPr>
        <w:instrText>"</w:instrText>
      </w:r>
      <w:r w:rsidRPr="00EA029C">
        <w:rPr>
          <w:rFonts w:ascii="Arial" w:hAnsi="Arial"/>
          <w:bCs/>
          <w:noProof/>
          <w:color w:val="17365D" w:themeColor="text2" w:themeShade="BF"/>
        </w:rPr>
        <w:instrText xml:space="preserve"> &lt;&gt; "" "</w:instrText>
      </w:r>
    </w:p>
    <w:p w:rsidR="000F5D19" w:rsidP="006C7647">
      <w:pPr>
        <w:spacing w:after="0" w:line="240" w:lineRule="auto"/>
        <w:contextualSpacing/>
        <w:jc w:val="center"/>
        <w:rPr>
          <w:rFonts w:ascii="Arial" w:hAnsi="Arial"/>
          <w:bCs/>
          <w:noProof/>
          <w:color w:val="17365D" w:themeColor="text2" w:themeShade="BF"/>
          <w:sz w:val="20"/>
          <w:szCs w:val="20"/>
        </w:rPr>
      </w:pPr>
    </w:p>
    <w:p w:rsidR="000F5D19" w:rsidP="006C7647">
      <w:pPr>
        <w:spacing w:after="0" w:line="240" w:lineRule="auto"/>
        <w:contextualSpacing/>
        <w:jc w:val="center"/>
        <w:rPr>
          <w:rFonts w:ascii="Arial" w:hAnsi="Arial"/>
          <w:bCs/>
          <w:noProof/>
          <w:color w:val="17365D" w:themeColor="text2" w:themeShade="BF"/>
          <w:sz w:val="20"/>
          <w:szCs w:val="20"/>
        </w:rPr>
      </w:pPr>
    </w:p>
    <w:p w:rsidR="00875345">
      <w:pPr>
        <w:bidi w:val="0"/>
        <w:spacing w:after="280" w:afterAutospacing="1"/>
        <w:jc w:val="left"/>
        <w:rPr>
          <w:rFonts w:ascii="Arial" w:hAnsi="Arial"/>
          <w:bCs/>
          <w:noProof/>
          <w:color w:val="17365D" w:themeColor="text2" w:themeShade="BF"/>
          <w:sz w:val="20"/>
          <w:szCs w:val="20"/>
        </w:rPr>
      </w:pPr>
      <w:r>
        <w:rPr>
          <w:rtl w:val="0"/>
        </w:rPr>
        <w:instrText>Innovation Grand Rounds is an interprofessional educational series designed to help MaineHealth care team members and community participants identify unmet healthcare needs, understand how innovation happens, and explore how to take the first steps toward improving care delivery. At its core, the series builds a culture of innovation mindset and capabilities—equipping participants to think creatively, collaborate effectively, and lead change with purpose. Innovation Grand Rounds features leading innovators in healthcare, showcasing their real-world innovation journeys—from identifying unmet needs to developing and implementing solutions. Faculty include clinicians, innovation leaders, and subject matter experts actively advancing innovation across MaineHealth. Through case-based presentations, real-world examples, and interactive discussions, participants gain practical understanding of key innovation concepts, including: Identifying and framing meaningful healthcare challenges Understanding user discovery and stakeholder engagement to strengthen ideation Recognizing value and feasibility in early-stage solutions Navigating pathways for advancing ideas, including technology disclosure and intellectual property considerations Exploring methods for testing and refining solutions, including when clinical research is required Rather than serving as a forum to fully develop projects, this series focuses on building awareness, strengthening foundational skills, and activating participants to take the next step. Importantly, the series connects participants to the MaineHealth Innovation lifecycle, helping them understand how ideas evolve—from problem identification and concept exploration to validation, development, and implementation—while highlighting clear entry points for care team members to begin and advance their innovation journey.</w:instrText>
      </w:r>
    </w:p>
    <w:p>
      <w:pPr>
        <w:bidi w:val="0"/>
        <w:spacing w:after="280" w:afterAutospacing="1"/>
        <w:jc w:val="left"/>
        <w:rPr>
          <w:rtl w:val="0"/>
        </w:rPr>
      </w:pPr>
      <w:r>
        <w:rPr>
          <w:rtl w:val="0"/>
        </w:rPr>
        <w:instrText xml:space="preserve">Please sign up for this session at this link: </w:instrText>
      </w:r>
      <w:r>
        <w:rPr>
          <w:rtl w:val="0"/>
        </w:rPr>
        <w:fldChar w:fldCharType="begin"/>
      </w:r>
      <w:r>
        <w:rPr>
          <w:rtl w:val="0"/>
        </w:rPr>
        <w:instrText xml:space="preserve"> HYPERLINK "https://form.jotform.com/261973813112051" \t "_blank" </w:instrText>
      </w:r>
      <w:r>
        <w:rPr>
          <w:rtl w:val="0"/>
        </w:rPr>
        <w:fldChar w:fldCharType="separate"/>
      </w:r>
      <w:r>
        <w:rPr>
          <w:color w:val="0000FF"/>
          <w:u w:val="single"/>
          <w:rtl w:val="0"/>
        </w:rPr>
        <w:instrText>https://form.jotform.com/261973813112051</w:instrText>
      </w:r>
      <w:r>
        <w:rPr>
          <w:rtl w:val="0"/>
        </w:rPr>
        <w:fldChar w:fldCharType="end"/>
      </w:r>
    </w:p>
    <w:p>
      <w:pPr>
        <w:bidi w:val="0"/>
        <w:spacing w:after="280" w:afterAutospacing="1"/>
        <w:jc w:val="left"/>
        <w:rPr>
          <w:rFonts w:ascii="Arial" w:hAnsi="Arial"/>
          <w:bCs/>
          <w:noProof/>
          <w:color w:val="17365D" w:themeColor="text2" w:themeShade="BF"/>
        </w:rPr>
      </w:pPr>
      <w:r w:rsidRPr="00EA029C" w:rsidR="00B3131A">
        <w:rPr>
          <w:rFonts w:ascii="Arial" w:hAnsi="Arial"/>
          <w:bCs/>
          <w:noProof/>
          <w:color w:val="17365D" w:themeColor="text2" w:themeShade="BF"/>
        </w:rPr>
        <w:instrText xml:space="preserve">" "" </w:instrText>
      </w:r>
      <w:r w:rsidRPr="00EA029C" w:rsidR="00B3131A">
        <w:rPr>
          <w:rFonts w:ascii="Arial" w:hAnsi="Arial"/>
          <w:bCs/>
          <w:noProof/>
          <w:color w:val="17365D" w:themeColor="text2" w:themeShade="BF"/>
        </w:rPr>
        <w:fldChar w:fldCharType="separate"/>
      </w:r>
    </w:p>
    <w:p w:rsidR="000F5D19" w:rsidP="006C7647">
      <w:pPr>
        <w:spacing w:after="0" w:line="240" w:lineRule="auto"/>
        <w:contextualSpacing/>
        <w:jc w:val="center"/>
        <w:rPr>
          <w:rFonts w:ascii="Arial" w:hAnsi="Arial"/>
          <w:bCs/>
          <w:noProof/>
          <w:color w:val="17365D" w:themeColor="text2" w:themeShade="BF"/>
          <w:sz w:val="20"/>
          <w:szCs w:val="20"/>
        </w:rPr>
      </w:pPr>
    </w:p>
    <w:p w:rsidR="000F5D19" w:rsidP="006C7647">
      <w:pPr>
        <w:spacing w:after="0" w:line="240" w:lineRule="auto"/>
        <w:contextualSpacing/>
        <w:jc w:val="center"/>
        <w:rPr>
          <w:rFonts w:ascii="Arial" w:hAnsi="Arial"/>
          <w:bCs/>
          <w:noProof/>
          <w:color w:val="17365D" w:themeColor="text2" w:themeShade="BF"/>
          <w:sz w:val="20"/>
          <w:szCs w:val="20"/>
        </w:rPr>
      </w:pPr>
    </w:p>
    <w:p w:rsidR="00875345">
      <w:pPr>
        <w:bidi w:val="0"/>
        <w:spacing w:after="280" w:afterAutospacing="1"/>
        <w:jc w:val="left"/>
        <w:rPr>
          <w:rFonts w:ascii="Arial" w:hAnsi="Arial"/>
          <w:bCs/>
          <w:noProof/>
          <w:color w:val="17365D" w:themeColor="text2" w:themeShade="BF"/>
          <w:sz w:val="20"/>
          <w:szCs w:val="20"/>
        </w:rPr>
      </w:pPr>
      <w:r>
        <w:rPr>
          <w:rtl w:val="0"/>
        </w:rPr>
        <w:t>Innovation Grand Rounds is an interprofessional educational series designed to help MaineHealth care team members and community participants identify unmet healthcare needs, understand how innovation happens, and explore how to take the first steps toward improving care delivery. At its core, the series builds a culture of innovation mindset and capabilities—equipping participants to think creatively, collaborate effectively, and lead change with purpose. Innovation Grand Rounds features leading innovators in healthcare, showcasing their real-world innovation journeys—from identifying unmet needs to developing and implementing solutions. Faculty include clinicians, innovation leaders, and subject matter experts actively advancing innovation across MaineHealth. Through case-based presentations, real-world examples, and interactive discussions, participants gain practical understanding of key innovation concepts, including: Identifying and framing meaningful healthcare challenges Understanding user discovery and stakeholder engagement to strengthen ideation Recognizing value and feasibility in early-stage solutions Navigating pathways for advancing ideas, including technology disclosure and intellectual property considerations Exploring methods for testing and refining solutions, including when clinical research is required Rather than serving as a forum to fully develop projects, this series focuses on building awareness, strengthening foundational skills, and activating participants to take the next step. Importantly, the series connects participants to the MaineHealth Innovation lifecycle, helping them understand how ideas evolve—from problem identification and concept exploration to validation, development, and implementation—while highlighting clear entry points for care team members to begin and advance their innovation journey.</w:t>
      </w:r>
    </w:p>
    <w:p>
      <w:pPr>
        <w:bidi w:val="0"/>
        <w:spacing w:after="280" w:afterAutospacing="1"/>
        <w:jc w:val="left"/>
        <w:rPr>
          <w:rtl w:val="0"/>
        </w:rPr>
      </w:pPr>
      <w:r>
        <w:rPr>
          <w:rtl w:val="0"/>
        </w:rPr>
        <w:t xml:space="preserve">Please sign up for this session at this link: </w:t>
      </w:r>
      <w:r>
        <w:rPr>
          <w:color w:val="0000FF"/>
          <w:u w:val="single"/>
          <w:rtl w:val="0"/>
        </w:rPr>
        <w:t>https://form.jotform.com/261973813112051</w:t>
      </w:r>
    </w:p>
    <w:p w:rsidR="00B3131A" w:rsidRPr="00EA029C">
      <w:pPr>
        <w:bidi w:val="0"/>
        <w:spacing w:after="280" w:afterAutospacing="1"/>
        <w:jc w:val="left"/>
        <w:rPr>
          <w:rFonts w:ascii="Arial" w:hAnsi="Arial"/>
          <w:bCs/>
          <w:noProof/>
          <w:color w:val="17365D" w:themeColor="text2" w:themeShade="BF"/>
        </w:rPr>
      </w:pPr>
      <w:r w:rsidRPr="00EA029C">
        <w:rPr>
          <w:rFonts w:ascii="Arial" w:hAnsi="Arial"/>
          <w:bCs/>
          <w:noProof/>
          <w:color w:val="17365D" w:themeColor="text2" w:themeShade="BF"/>
        </w:rPr>
        <w:fldChar w:fldCharType="end"/>
      </w:r>
    </w:p>
    <w:p w:rsidR="006C7647" w:rsidRPr="00386F24" w:rsidP="006C7647">
      <w:pPr>
        <w:spacing w:after="0" w:line="240" w:lineRule="auto"/>
        <w:contextualSpacing/>
        <w:jc w:val="center"/>
        <w:rPr>
          <w:rFonts w:ascii="Arial" w:hAnsi="Arial" w:cs="Arial"/>
          <w:b/>
          <w:sz w:val="20"/>
          <w:szCs w:val="20"/>
        </w:rPr>
      </w:pPr>
    </w:p>
    <w:p w:rsidR="008D42EF" w:rsidP="006C7647">
      <w:pPr>
        <w:spacing w:after="0" w:line="240" w:lineRule="auto"/>
        <w:contextualSpacing/>
        <w:jc w:val="center"/>
        <w:rPr>
          <w:rFonts w:cs="Arial"/>
          <w:bCs/>
        </w:rPr>
      </w:pPr>
      <w:r w:rsidRPr="0018769F">
        <w:rPr>
          <w:rFonts w:ascii="Arial" w:hAnsi="Arial" w:cs="Arial"/>
          <w:b/>
          <w:sz w:val="28"/>
          <w:szCs w:val="28"/>
        </w:rPr>
        <w:t>08/21/2026</w:t>
      </w:r>
      <w:r w:rsidRPr="008D42EF">
        <w:rPr>
          <w:rFonts w:cs="Arial"/>
          <w:bCs/>
        </w:rPr>
        <w:fldChar w:fldCharType="begin"/>
      </w:r>
      <w:r w:rsidRPr="008D42EF">
        <w:rPr>
          <w:rFonts w:cs="Arial"/>
          <w:bCs/>
        </w:rPr>
        <w:instrText xml:space="preserve"> IF </w:instrText>
      </w:r>
      <w:r>
        <w:rPr>
          <w:rFonts w:cs="Arial"/>
          <w:bCs/>
        </w:rPr>
        <w:instrText>"</w:instrText>
      </w:r>
      <w:r>
        <w:rPr>
          <w:rFonts w:cs="Arial"/>
          <w:bCs/>
        </w:rPr>
        <w:instrText>Dana Center/Online</w:instrText>
      </w:r>
      <w:r>
        <w:rPr>
          <w:rFonts w:cs="Arial"/>
          <w:bCs/>
        </w:rPr>
        <w:instrText>"</w:instrText>
      </w:r>
      <w:r>
        <w:rPr>
          <w:rFonts w:cs="Arial"/>
          <w:bCs/>
        </w:rPr>
        <w:instrText xml:space="preserve"> &lt;&gt; "" "</w:instrText>
      </w:r>
    </w:p>
    <w:p w:rsidR="00386F24" w:rsidRPr="00386F24" w:rsidP="006C7647">
      <w:pPr>
        <w:spacing w:after="0" w:line="240" w:lineRule="auto"/>
        <w:contextualSpacing/>
        <w:jc w:val="center"/>
        <w:rPr>
          <w:rFonts w:cs="Arial"/>
          <w:bCs/>
          <w:sz w:val="20"/>
          <w:szCs w:val="20"/>
        </w:rPr>
      </w:pPr>
    </w:p>
    <w:p w:rsidR="00875345" w:rsidP="006C7647">
      <w:pPr>
        <w:spacing w:after="0" w:line="240" w:lineRule="auto"/>
        <w:contextualSpacing/>
        <w:jc w:val="center"/>
        <w:rPr>
          <w:rFonts w:cs="Arial"/>
          <w:bCs/>
          <w:noProof/>
        </w:rPr>
      </w:pPr>
      <w:r>
        <w:rPr>
          <w:rFonts w:cs="Arial"/>
          <w:bCs/>
        </w:rPr>
        <w:instrText>Dana Center/Online</w:instrText>
      </w:r>
      <w:r>
        <w:rPr>
          <w:rFonts w:cs="Arial"/>
          <w:bCs/>
        </w:rPr>
        <w:instrText>" ""</w:instrText>
      </w:r>
      <w:r w:rsidRPr="008D42EF">
        <w:rPr>
          <w:rFonts w:cs="Arial"/>
          <w:bCs/>
        </w:rPr>
        <w:instrText xml:space="preserve"> </w:instrText>
      </w:r>
      <w:r w:rsidRPr="008D42EF">
        <w:rPr>
          <w:rFonts w:cs="Arial"/>
          <w:bCs/>
        </w:rPr>
        <w:fldChar w:fldCharType="separate"/>
      </w:r>
    </w:p>
    <w:p w:rsidR="00386F24" w:rsidRPr="00386F24" w:rsidP="006C7647">
      <w:pPr>
        <w:spacing w:after="0" w:line="240" w:lineRule="auto"/>
        <w:contextualSpacing/>
        <w:jc w:val="center"/>
        <w:rPr>
          <w:rFonts w:cs="Arial"/>
          <w:bCs/>
          <w:sz w:val="20"/>
          <w:szCs w:val="20"/>
        </w:rPr>
      </w:pPr>
    </w:p>
    <w:p w:rsidR="008D42EF" w:rsidRPr="008D42EF" w:rsidP="006C7647">
      <w:pPr>
        <w:spacing w:after="0" w:line="240" w:lineRule="auto"/>
        <w:contextualSpacing/>
        <w:jc w:val="center"/>
        <w:rPr>
          <w:rFonts w:cs="Arial"/>
          <w:bCs/>
        </w:rPr>
      </w:pPr>
      <w:r>
        <w:rPr>
          <w:rFonts w:cs="Arial"/>
          <w:bCs/>
        </w:rPr>
        <w:t>Dana Center/Online</w:t>
      </w:r>
      <w:r w:rsidRPr="008D42EF">
        <w:rPr>
          <w:rFonts w:cs="Arial"/>
          <w:bCs/>
        </w:rPr>
        <w:fldChar w:fldCharType="end"/>
      </w:r>
    </w:p>
    <w:p w:rsidR="00552F5E" w:rsidP="006C7647">
      <w:pPr>
        <w:spacing w:after="0" w:line="240" w:lineRule="auto"/>
        <w:contextualSpacing/>
        <w:rPr>
          <w:rFonts w:ascii="Arial" w:hAnsi="Arial" w:cs="Arial"/>
          <w:b/>
          <w:sz w:val="24"/>
          <w:szCs w:val="24"/>
        </w:rPr>
      </w:pPr>
    </w:p>
    <w:p w:rsidR="00A57FC9" w:rsidP="006C7647">
      <w:pPr>
        <w:spacing w:after="0" w:line="240" w:lineRule="auto"/>
        <w:contextualSpacing/>
        <w:rPr>
          <w:rFonts w:ascii="Arial" w:hAnsi="Arial" w:cs="Arial"/>
          <w:b/>
          <w:sz w:val="24"/>
          <w:szCs w:val="24"/>
        </w:rPr>
      </w:pPr>
    </w:p>
    <w:p w:rsidR="00552F5E" w:rsidP="006C7647">
      <w:pPr>
        <w:spacing w:after="0" w:line="240" w:lineRule="auto"/>
        <w:contextualSpacing/>
        <w:rPr>
          <w:rFonts w:ascii="Arial" w:hAnsi="Arial" w:cs="Arial"/>
          <w:b/>
          <w:sz w:val="28"/>
          <w:szCs w:val="28"/>
        </w:rPr>
      </w:pPr>
      <w:r w:rsidRPr="00BB5386">
        <w:rPr>
          <w:rFonts w:ascii="Arial" w:hAnsi="Arial" w:cs="Arial"/>
          <w:b/>
          <w:sz w:val="28"/>
          <w:szCs w:val="28"/>
        </w:rPr>
        <w:t>Goals or Objectives</w:t>
      </w:r>
      <w:r w:rsidRPr="00BB5386" w:rsidR="00993B4D">
        <w:rPr>
          <w:rFonts w:ascii="Arial" w:hAnsi="Arial" w:cs="Arial"/>
          <w:b/>
          <w:sz w:val="28"/>
          <w:szCs w:val="28"/>
        </w:rPr>
        <w:t>:</w:t>
      </w:r>
    </w:p>
    <w:p w:rsidR="00993B4D" w:rsidP="006C7647">
      <w:pPr>
        <w:spacing w:after="0" w:line="240" w:lineRule="auto"/>
        <w:contextualSpacing/>
        <w:rPr>
          <w:rFonts w:ascii="Arial" w:hAnsi="Arial" w:cs="Arial"/>
          <w:noProof/>
          <w:sz w:val="28"/>
          <w:szCs w:val="28"/>
        </w:rPr>
      </w:pPr>
      <w:r w:rsidR="00875345">
        <w:rPr>
          <w:rFonts w:ascii="Arial" w:hAnsi="Arial" w:cs="Arial"/>
          <w:noProof/>
          <w:sz w:val="28"/>
          <w:szCs w:val="28"/>
        </w:rPr>
        <w:t>1 Identify</w:t>
      </w:r>
      <w:r w:rsidRPr="00BB5386">
        <w:rPr>
          <w:rFonts w:ascii="Arial" w:hAnsi="Arial" w:cs="Arial"/>
          <w:sz w:val="28"/>
          <w:szCs w:val="28"/>
        </w:rPr>
        <w:t xml:space="preserve"> problems and opportunities in the provision of healthcare</w:t>
      </w:r>
    </w:p>
    <w:p w:rsidRPr="00BB5386" w:rsidP="006C7647">
      <w:pPr>
        <w:spacing w:after="0" w:line="240" w:lineRule="auto"/>
        <w:contextualSpacing/>
        <w:rPr>
          <w:rFonts w:ascii="Arial" w:hAnsi="Arial" w:cs="Arial"/>
          <w:sz w:val="28"/>
          <w:szCs w:val="28"/>
        </w:rPr>
      </w:pPr>
      <w:r w:rsidRPr="00BB5386">
        <w:rPr>
          <w:rFonts w:ascii="Arial" w:hAnsi="Arial" w:cs="Arial"/>
          <w:sz w:val="28"/>
          <w:szCs w:val="28"/>
        </w:rPr>
        <w:t xml:space="preserve">2  Understand the process of customer engagement to enhance ideation </w:t>
      </w:r>
    </w:p>
    <w:p w:rsidRPr="00BB5386" w:rsidP="006C7647">
      <w:pPr>
        <w:spacing w:after="0" w:line="240" w:lineRule="auto"/>
        <w:contextualSpacing/>
        <w:rPr>
          <w:rFonts w:ascii="Arial" w:hAnsi="Arial" w:cs="Arial"/>
          <w:sz w:val="28"/>
          <w:szCs w:val="28"/>
        </w:rPr>
      </w:pPr>
      <w:r w:rsidRPr="00BB5386">
        <w:rPr>
          <w:rFonts w:ascii="Arial" w:hAnsi="Arial" w:cs="Arial"/>
          <w:sz w:val="28"/>
          <w:szCs w:val="28"/>
        </w:rPr>
        <w:t xml:space="preserve">3   Understand the process of technology disclosure and patenting </w:t>
      </w:r>
    </w:p>
    <w:p w:rsidRPr="00BB5386" w:rsidP="006C7647">
      <w:pPr>
        <w:spacing w:after="0" w:line="240" w:lineRule="auto"/>
        <w:contextualSpacing/>
        <w:rPr>
          <w:rFonts w:ascii="Arial" w:hAnsi="Arial" w:cs="Arial"/>
          <w:sz w:val="28"/>
          <w:szCs w:val="28"/>
        </w:rPr>
      </w:pPr>
      <w:r w:rsidRPr="00BB5386">
        <w:rPr>
          <w:rFonts w:ascii="Arial" w:hAnsi="Arial" w:cs="Arial"/>
          <w:sz w:val="28"/>
          <w:szCs w:val="28"/>
        </w:rPr>
        <w:t>4   Develop methods for testing of innovations and solutions in healthcare</w:t>
        <w:tab/>
        <w:t xml:space="preserve"> </w:t>
      </w:r>
    </w:p>
    <w:p w:rsidR="00993B4D" w:rsidP="006C7647">
      <w:pPr>
        <w:spacing w:after="0" w:line="240" w:lineRule="auto"/>
        <w:contextualSpacing/>
        <w:rPr>
          <w:rFonts w:ascii="Arial" w:hAnsi="Arial" w:cs="Arial"/>
          <w:noProof/>
          <w:sz w:val="28"/>
          <w:szCs w:val="28"/>
        </w:rPr>
      </w:pPr>
      <w:r w:rsidRPr="00BB5386">
        <w:rPr>
          <w:rFonts w:ascii="Arial" w:hAnsi="Arial" w:cs="Arial"/>
          <w:sz w:val="28"/>
          <w:szCs w:val="28"/>
        </w:rPr>
        <w:t>5   Understand when the step in development of an idea into an innovation will require clinical research</w:t>
      </w:r>
    </w:p>
    <w:p w:rsidR="00552F5E" w:rsidP="006C7647">
      <w:pPr>
        <w:spacing w:after="0" w:line="240" w:lineRule="auto"/>
        <w:contextualSpacing/>
        <w:rPr>
          <w:rFonts w:ascii="Arial" w:hAnsi="Arial" w:cs="Arial"/>
          <w:color w:val="000000" w:themeColor="text1"/>
          <w:sz w:val="20"/>
          <w:szCs w:val="20"/>
        </w:rPr>
      </w:pPr>
    </w:p>
    <w:p w:rsidR="002A779F" w:rsidRPr="00386F24" w:rsidP="006C7647">
      <w:pPr>
        <w:spacing w:after="0" w:line="240" w:lineRule="auto"/>
        <w:contextualSpacing/>
        <w:rPr>
          <w:rFonts w:ascii="Arial" w:hAnsi="Arial" w:cs="Arial"/>
          <w:color w:val="000000" w:themeColor="text1"/>
          <w:sz w:val="20"/>
          <w:szCs w:val="20"/>
        </w:rPr>
      </w:pPr>
    </w:p>
    <w:p w:rsidR="002A779F" w:rsidRPr="002A779F" w:rsidP="006C7647">
      <w:pPr>
        <w:spacing w:after="0" w:line="240" w:lineRule="auto"/>
        <w:contextualSpacing/>
        <w:rPr>
          <w:rFonts w:ascii="Arial" w:hAnsi="Arial" w:cs="Arial"/>
          <w:bCs/>
          <w:sz w:val="24"/>
          <w:szCs w:val="24"/>
        </w:rPr>
      </w:pPr>
      <w:r>
        <w:rPr>
          <w:rFonts w:ascii="Arial" w:hAnsi="Arial" w:cs="Arial"/>
          <w:b/>
          <w:sz w:val="24"/>
          <w:szCs w:val="24"/>
        </w:rPr>
        <w:t>Accreditation:</w:t>
      </w:r>
    </w:p>
    <w:p w:rsidR="002A779F" w:rsidP="006C7647">
      <w:pPr>
        <w:spacing w:after="0" w:line="240" w:lineRule="auto"/>
        <w:contextualSpacing/>
        <w:rPr>
          <w:rFonts w:ascii="Arial" w:hAnsi="Arial" w:cs="Arial"/>
          <w:bCs/>
          <w:sz w:val="20"/>
          <w:szCs w:val="20"/>
        </w:rPr>
      </w:pPr>
    </w:p>
    <w:tbl>
      <w:tblPr>
        <w:tblStyle w:val="TableGrid1"/>
        <w:tblW w:w="0" w:type="auto"/>
        <w:tblBorders>
          <w:top w:val="nil"/>
          <w:left w:val="nil"/>
          <w:bottom w:val="nil"/>
          <w:right w:val="nil"/>
          <w:insideH w:val="nil"/>
          <w:insideV w:val="nil"/>
        </w:tblBorders>
        <w:tblLook w:val="04A0"/>
      </w:tblPr>
      <w:tblGrid>
        <w:gridCol w:w="2514"/>
        <w:gridCol w:w="7710"/>
      </w:tblGrid>
      <w:tr w:rsidTr="75606142">
        <w:tblPrEx>
          <w:tblW w:w="0" w:type="auto"/>
          <w:tblBorders>
            <w:top w:val="nil"/>
            <w:left w:val="nil"/>
            <w:bottom w:val="nil"/>
            <w:right w:val="nil"/>
            <w:insideH w:val="nil"/>
            <w:insideV w:val="nil"/>
          </w:tblBorders>
          <w:tblLook w:val="04A0"/>
        </w:tblPrEx>
        <w:tc>
          <w:tcPr>
            <w:tcW w:w="2515" w:type="dxa"/>
          </w:tcPr>
          <w:p w:rsidR="002A779F" w:rsidRPr="002A779F" w:rsidP="002A779F">
            <w:pPr>
              <w:spacing w:after="0" w:line="240" w:lineRule="auto"/>
              <w:contextualSpacing/>
              <w:rPr>
                <w:rFonts w:ascii="Arial" w:eastAsia="Times New Roman" w:hAnsi="Arial" w:cs="Arial"/>
                <w:szCs w:val="20"/>
              </w:rPr>
            </w:pPr>
            <w:r w:rsidRPr="002A779F">
              <w:rPr>
                <w:rFonts w:ascii="Arial" w:eastAsia="Times New Roman" w:hAnsi="Arial" w:cs="Arial"/>
                <w:noProof/>
                <w:sz w:val="20"/>
                <w:szCs w:val="20"/>
              </w:rPr>
              <w:drawing>
                <wp:inline distT="0" distB="0" distL="0" distR="0">
                  <wp:extent cx="1453515" cy="998855"/>
                  <wp:effectExtent l="0" t="0" r="0" b="0"/>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medium confidence"/>
                          <pic:cNvPicPr/>
                        </pic:nvPicPr>
                        <pic:blipFill>
                          <a:blip xmlns:r="http://schemas.openxmlformats.org/officeDocument/2006/relationships" r:embed="rId5"/>
                          <a:stretch>
                            <a:fillRect/>
                          </a:stretch>
                        </pic:blipFill>
                        <pic:spPr>
                          <a:xfrm>
                            <a:off x="0" y="0"/>
                            <a:ext cx="1453515" cy="998855"/>
                          </a:xfrm>
                          <a:prstGeom prst="rect">
                            <a:avLst/>
                          </a:prstGeom>
                        </pic:spPr>
                      </pic:pic>
                    </a:graphicData>
                  </a:graphic>
                </wp:inline>
              </w:drawing>
            </w:r>
          </w:p>
        </w:tc>
        <w:tc>
          <w:tcPr>
            <w:tcW w:w="8275" w:type="dxa"/>
          </w:tcPr>
          <w:p w:rsidR="002A779F" w:rsidRPr="002A779F" w:rsidP="75606142">
            <w:pPr>
              <w:spacing w:after="0" w:line="240" w:lineRule="auto"/>
              <w:ind w:left="-22"/>
              <w:contextualSpacing/>
              <w:rPr>
                <w:rFonts w:ascii="Arial" w:eastAsia="Arial" w:hAnsi="Arial" w:cs="Arial"/>
                <w:sz w:val="18"/>
                <w:szCs w:val="18"/>
              </w:rPr>
            </w:pPr>
            <w:r w:rsidRPr="75606142">
              <w:rPr>
                <w:rFonts w:ascii="Hind" w:eastAsia="Hind" w:hAnsi="Hind" w:cs="Hind"/>
                <w:color w:val="212529"/>
                <w:sz w:val="18"/>
                <w:szCs w:val="18"/>
              </w:rPr>
              <w:t>In support of improving patient care, MaineHealth is jointly accredited by the Accreditation Council for Continuing Medical Education (ACCME), the Accreditation Council for Pharmacy Education (ACPE), and the American Nurses Credentialing Center (ANCC), to provide continuing education for the healthcare team. MaineHealth is also approved to accredit continuing education activities with the following credit types: Interprofessional Continuing Education (IPCE), Association of Social Work Boards (ASWB), American Academy of Physician Assistants (AAPA), American Psychological Association (APA), Registered Dietitians (RDs) and Dietetic Technicians, Registered (DTRs).</w:t>
            </w:r>
          </w:p>
        </w:tc>
      </w:tr>
    </w:tbl>
    <w:p w:rsidR="002A779F" w:rsidRPr="002A779F" w:rsidP="002A779F">
      <w:pPr>
        <w:spacing w:after="0" w:line="240" w:lineRule="auto"/>
        <w:contextualSpacing/>
        <w:rPr>
          <w:rFonts w:ascii="Arial" w:eastAsia="Times New Roman" w:hAnsi="Arial" w:cs="Arial"/>
          <w:sz w:val="18"/>
          <w:szCs w:val="18"/>
        </w:rPr>
      </w:pPr>
      <w:r w:rsidRPr="002A779F">
        <w:rPr>
          <w:rFonts w:ascii="Arial" w:eastAsia="Times New Roman" w:hAnsi="Arial" w:cs="Arial"/>
          <w:sz w:val="18"/>
          <w:szCs w:val="18"/>
        </w:rPr>
        <w:fldChar w:fldCharType="begin"/>
      </w:r>
      <w:r w:rsidRPr="002A779F">
        <w:rPr>
          <w:rFonts w:ascii="Arial" w:eastAsia="Times New Roman" w:hAnsi="Arial" w:cs="Arial"/>
          <w:sz w:val="18"/>
          <w:szCs w:val="18"/>
        </w:rPr>
        <w:instrText xml:space="preserve"> IF </w:instrText>
      </w:r>
      <w:r w:rsidRPr="002A779F">
        <w:rPr>
          <w:rFonts w:ascii="Arial" w:eastAsia="Times New Roman" w:hAnsi="Arial" w:cs="Arial"/>
          <w:sz w:val="18"/>
          <w:szCs w:val="18"/>
        </w:rPr>
        <w:instrText>0.00</w:instrText>
      </w:r>
      <w:r w:rsidRPr="002A779F">
        <w:rPr>
          <w:rFonts w:ascii="Arial" w:eastAsia="Times New Roman" w:hAnsi="Arial" w:cs="Arial"/>
          <w:sz w:val="18"/>
          <w:szCs w:val="18"/>
        </w:rPr>
        <w:instrText xml:space="preserve"> &gt; 0 "</w:instrText>
      </w:r>
    </w:p>
    <w:tbl>
      <w:tblPr>
        <w:tblStyle w:val="TableGrid1"/>
        <w:tblW w:w="0" w:type="auto"/>
        <w:tblBorders>
          <w:top w:val="nil"/>
          <w:left w:val="nil"/>
          <w:bottom w:val="nil"/>
          <w:right w:val="nil"/>
          <w:insideH w:val="nil"/>
          <w:insideV w:val="nil"/>
        </w:tblBorders>
        <w:tblLook w:val="04A0"/>
      </w:tblPr>
      <w:tblGrid>
        <w:gridCol w:w="8548"/>
        <w:gridCol w:w="1676"/>
      </w:tblGrid>
      <w:tr w:rsidTr="00E74D6A">
        <w:tblPrEx>
          <w:tblW w:w="0" w:type="auto"/>
          <w:tblBorders>
            <w:top w:val="nil"/>
            <w:left w:val="nil"/>
            <w:bottom w:val="nil"/>
            <w:right w:val="nil"/>
            <w:insideH w:val="nil"/>
            <w:insideV w:val="nil"/>
          </w:tblBorders>
          <w:tblLook w:val="04A0"/>
        </w:tblPrEx>
        <w:tc>
          <w:tcPr>
            <w:tcW w:w="9625" w:type="dxa"/>
          </w:tcPr>
          <w:p w:rsidR="002A779F" w:rsidRPr="002A779F" w:rsidP="002A779F">
            <w:pPr>
              <w:spacing w:after="0" w:line="240" w:lineRule="auto"/>
              <w:ind w:right="-84"/>
              <w:contextualSpacing/>
              <w:rPr>
                <w:rFonts w:ascii="Arial" w:eastAsia="Times New Roman" w:hAnsi="Arial" w:cs="Arial"/>
                <w:sz w:val="18"/>
                <w:szCs w:val="18"/>
              </w:rPr>
            </w:pPr>
            <w:r w:rsidRPr="002A779F">
              <w:rPr>
                <w:rFonts w:ascii="Arial" w:eastAsia="Times New Roman" w:hAnsi="Arial" w:cs="Arial"/>
                <w:sz w:val="18"/>
                <w:szCs w:val="18"/>
              </w:rPr>
              <w:instrText xml:space="preserve">This activity was planned by and for the healthcare team, and learners will receive </w:instrText>
            </w:r>
            <w:r w:rsidRPr="002A779F">
              <w:rPr>
                <w:rFonts w:ascii="Arial" w:eastAsia="Times New Roman" w:hAnsi="Arial" w:cs="Arial"/>
                <w:sz w:val="18"/>
                <w:szCs w:val="18"/>
              </w:rPr>
              <w:fldChar w:fldCharType="begin"/>
            </w:r>
            <w:r w:rsidRPr="002A779F">
              <w:rPr>
                <w:rFonts w:ascii="Arial" w:eastAsia="Times New Roman" w:hAnsi="Arial" w:cs="Arial"/>
                <w:sz w:val="18"/>
                <w:szCs w:val="18"/>
              </w:rPr>
              <w:instrText xml:space="preserve"> MERGEFIELD IPCEHours</w:instrText>
            </w:r>
            <w:r>
              <w:rPr>
                <w:rFonts w:ascii="Arial" w:eastAsia="Times New Roman" w:hAnsi="Arial" w:cs="Arial"/>
                <w:sz w:val="18"/>
                <w:szCs w:val="18"/>
              </w:rPr>
              <w:instrText>Max</w:instrText>
            </w:r>
            <w:r w:rsidRPr="002A779F">
              <w:rPr>
                <w:rFonts w:ascii="Arial" w:eastAsia="Times New Roman" w:hAnsi="Arial" w:cs="Arial"/>
                <w:sz w:val="18"/>
                <w:szCs w:val="18"/>
              </w:rPr>
              <w:instrText xml:space="preserve"> \# 0.00# </w:instrText>
            </w:r>
            <w:r w:rsidRPr="002A779F">
              <w:rPr>
                <w:rFonts w:ascii="Arial" w:eastAsia="Times New Roman" w:hAnsi="Arial" w:cs="Arial"/>
                <w:sz w:val="18"/>
                <w:szCs w:val="18"/>
              </w:rPr>
              <w:fldChar w:fldCharType="separate"/>
            </w:r>
            <w:r w:rsidRPr="002A779F">
              <w:rPr>
                <w:rFonts w:ascii="Arial" w:eastAsia="Times New Roman" w:hAnsi="Arial" w:cs="Arial"/>
                <w:sz w:val="18"/>
                <w:szCs w:val="18"/>
              </w:rPr>
              <w:fldChar w:fldCharType="end"/>
            </w:r>
            <w:r w:rsidRPr="002A779F">
              <w:rPr>
                <w:rFonts w:ascii="Arial" w:eastAsia="Times New Roman" w:hAnsi="Arial" w:cs="Arial"/>
                <w:sz w:val="18"/>
                <w:szCs w:val="18"/>
              </w:rPr>
              <w:instrText xml:space="preserve"> Interprofessional Continuing Education (IPCE) credits for learning and change.</w:instrText>
            </w:r>
          </w:p>
        </w:tc>
        <w:tc>
          <w:tcPr>
            <w:tcW w:w="1165" w:type="dxa"/>
          </w:tcPr>
          <w:p w:rsidR="002A779F" w:rsidRPr="002A779F" w:rsidP="002A779F">
            <w:pPr>
              <w:spacing w:after="0" w:line="240" w:lineRule="auto"/>
              <w:contextualSpacing/>
              <w:rPr>
                <w:rFonts w:ascii="Arial" w:eastAsia="Times New Roman" w:hAnsi="Arial" w:cs="Arial"/>
                <w:sz w:val="18"/>
                <w:szCs w:val="18"/>
              </w:rPr>
            </w:pPr>
            <w:r w:rsidRPr="002A779F">
              <w:rPr>
                <w:rFonts w:ascii="Arial" w:eastAsia="Times New Roman" w:hAnsi="Arial" w:cs="Arial"/>
                <w:noProof/>
                <w:szCs w:val="20"/>
              </w:rPr>
              <w:drawing>
                <wp:inline distT="0" distB="0" distL="0" distR="0">
                  <wp:extent cx="927100" cy="662305"/>
                  <wp:effectExtent l="0" t="0" r="0" b="0"/>
                  <wp:docPr id="12" name="Picture 12"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PCE CREDIT TM"/>
                          <pic:cNvPicPr/>
                        </pic:nvPicPr>
                        <pic:blipFill>
                          <a:blip xmlns:r="http://schemas.openxmlformats.org/officeDocument/2006/relationships" r:embed="rId6"/>
                          <a:stretch>
                            <a:fillRect/>
                          </a:stretch>
                        </pic:blipFill>
                        <pic:spPr>
                          <a:xfrm>
                            <a:off x="0" y="0"/>
                            <a:ext cx="927100" cy="662305"/>
                          </a:xfrm>
                          <a:prstGeom prst="rect">
                            <a:avLst/>
                          </a:prstGeom>
                        </pic:spPr>
                      </pic:pic>
                    </a:graphicData>
                  </a:graphic>
                </wp:inline>
              </w:drawing>
            </w:r>
          </w:p>
        </w:tc>
      </w:tr>
    </w:tbl>
    <w:p w:rsidR="002A779F" w:rsidRPr="002A779F" w:rsidP="002A779F">
      <w:pPr>
        <w:spacing w:after="0" w:line="240" w:lineRule="auto"/>
        <w:contextualSpacing/>
        <w:rPr>
          <w:rFonts w:ascii="Times New Roman" w:eastAsia="Times New Roman" w:hAnsi="Times New Roman" w:cs="Times New Roman"/>
          <w:sz w:val="20"/>
          <w:szCs w:val="20"/>
        </w:rPr>
      </w:pPr>
      <w:r w:rsidRPr="002A779F">
        <w:rPr>
          <w:rFonts w:ascii="Arial" w:eastAsia="Times New Roman" w:hAnsi="Arial" w:cs="Arial"/>
          <w:sz w:val="18"/>
          <w:szCs w:val="18"/>
        </w:rPr>
        <w:instrText xml:space="preserve">" "" </w:instrText>
      </w:r>
      <w:r w:rsidRPr="002A779F">
        <w:rPr>
          <w:rFonts w:ascii="Arial" w:eastAsia="Times New Roman" w:hAnsi="Arial" w:cs="Arial"/>
          <w:sz w:val="18"/>
          <w:szCs w:val="18"/>
        </w:rPr>
        <w:fldChar w:fldCharType="separate"/>
      </w:r>
      <w:r w:rsidRPr="002A779F">
        <w:rPr>
          <w:rFonts w:ascii="Arial" w:eastAsia="Times New Roman" w:hAnsi="Arial" w:cs="Arial"/>
          <w:sz w:val="18"/>
          <w:szCs w:val="18"/>
        </w:rPr>
        <w:fldChar w:fldCharType="end"/>
      </w:r>
    </w:p>
    <w:p w:rsidR="002A779F" w:rsidRPr="002A779F" w:rsidP="002A779F">
      <w:pPr>
        <w:spacing w:after="0" w:line="240" w:lineRule="auto"/>
        <w:contextualSpacing/>
        <w:rPr>
          <w:rFonts w:ascii="Arial" w:eastAsia="Times New Roman" w:hAnsi="Arial" w:cs="Arial"/>
          <w:sz w:val="18"/>
          <w:szCs w:val="18"/>
        </w:rPr>
      </w:pPr>
      <w:r w:rsidRPr="002A779F">
        <w:rPr>
          <w:rFonts w:ascii="Arial" w:eastAsia="Times New Roman" w:hAnsi="Arial" w:cs="Arial"/>
          <w:sz w:val="18"/>
          <w:szCs w:val="18"/>
        </w:rPr>
        <w:fldChar w:fldCharType="begin"/>
      </w:r>
      <w:r w:rsidRPr="002A779F">
        <w:rPr>
          <w:rFonts w:ascii="Arial" w:eastAsia="Times New Roman" w:hAnsi="Arial" w:cs="Arial"/>
          <w:sz w:val="18"/>
          <w:szCs w:val="18"/>
        </w:rPr>
        <w:instrText xml:space="preserve"> IF </w:instrText>
      </w:r>
      <w:r w:rsidRPr="002A779F">
        <w:rPr>
          <w:rFonts w:ascii="Arial" w:eastAsia="Times New Roman" w:hAnsi="Arial" w:cs="Arial"/>
          <w:sz w:val="18"/>
          <w:szCs w:val="18"/>
        </w:rPr>
        <w:instrText>0.00</w:instrText>
      </w:r>
      <w:r w:rsidRPr="002A779F">
        <w:rPr>
          <w:rFonts w:ascii="Arial" w:eastAsia="Times New Roman" w:hAnsi="Arial" w:cs="Arial"/>
          <w:sz w:val="18"/>
          <w:szCs w:val="18"/>
        </w:rPr>
        <w:instrText xml:space="preserve"> &gt; 0 "</w:instrText>
      </w:r>
    </w:p>
    <w:tbl>
      <w:tblPr>
        <w:tblStyle w:val="TableGrid1"/>
        <w:tblW w:w="0" w:type="auto"/>
        <w:tblBorders>
          <w:top w:val="nil"/>
          <w:left w:val="nil"/>
          <w:bottom w:val="nil"/>
          <w:right w:val="nil"/>
          <w:insideH w:val="nil"/>
          <w:insideV w:val="nil"/>
        </w:tblBorders>
        <w:tblLook w:val="04A0"/>
      </w:tblPr>
      <w:tblGrid>
        <w:gridCol w:w="7886"/>
        <w:gridCol w:w="2338"/>
      </w:tblGrid>
      <w:tr w:rsidTr="00E74D6A">
        <w:tblPrEx>
          <w:tblW w:w="0" w:type="auto"/>
          <w:tblBorders>
            <w:top w:val="nil"/>
            <w:left w:val="nil"/>
            <w:bottom w:val="nil"/>
            <w:right w:val="nil"/>
            <w:insideH w:val="nil"/>
            <w:insideV w:val="nil"/>
          </w:tblBorders>
          <w:tblLook w:val="04A0"/>
        </w:tblPrEx>
        <w:tc>
          <w:tcPr>
            <w:tcW w:w="9175" w:type="dxa"/>
          </w:tcPr>
          <w:p w:rsidR="002A779F" w:rsidRPr="002A779F" w:rsidP="002A779F">
            <w:pPr>
              <w:spacing w:after="0" w:line="240" w:lineRule="auto"/>
              <w:ind w:right="-25"/>
              <w:contextualSpacing/>
              <w:rPr>
                <w:rFonts w:ascii="Arial" w:eastAsia="Times New Roman" w:hAnsi="Arial" w:cs="Arial"/>
                <w:sz w:val="18"/>
                <w:szCs w:val="18"/>
              </w:rPr>
            </w:pPr>
            <w:r w:rsidRPr="002A779F">
              <w:rPr>
                <w:rFonts w:ascii="Arial" w:eastAsia="Times New Roman" w:hAnsi="Arial" w:cs="Arial"/>
                <w:sz w:val="18"/>
                <w:szCs w:val="18"/>
              </w:rPr>
              <w:instrText xml:space="preserve">As a Jointly Accredited Organization, MaineHealth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MaineHealth maintains responsibility for this course. Social workers completing this course receive </w:instrText>
            </w:r>
            <w:r w:rsidRPr="002A779F">
              <w:rPr>
                <w:rFonts w:ascii="Arial" w:eastAsia="Times New Roman" w:hAnsi="Arial" w:cs="Arial"/>
                <w:sz w:val="18"/>
                <w:szCs w:val="18"/>
              </w:rPr>
              <w:fldChar w:fldCharType="begin"/>
            </w:r>
            <w:r w:rsidRPr="002A779F">
              <w:rPr>
                <w:rFonts w:ascii="Arial" w:eastAsia="Times New Roman" w:hAnsi="Arial" w:cs="Arial"/>
                <w:sz w:val="18"/>
                <w:szCs w:val="18"/>
              </w:rPr>
              <w:instrText xml:space="preserve"> MERGEFIELD ASWBHours</w:instrText>
            </w:r>
            <w:r>
              <w:rPr>
                <w:rFonts w:ascii="Arial" w:eastAsia="Times New Roman" w:hAnsi="Arial" w:cs="Arial"/>
                <w:sz w:val="18"/>
                <w:szCs w:val="18"/>
              </w:rPr>
              <w:instrText>Max</w:instrText>
            </w:r>
            <w:r w:rsidRPr="002A779F">
              <w:rPr>
                <w:rFonts w:ascii="Arial" w:eastAsia="Times New Roman" w:hAnsi="Arial" w:cs="Arial"/>
                <w:sz w:val="18"/>
                <w:szCs w:val="18"/>
              </w:rPr>
              <w:instrText xml:space="preserve"> \# 0.00# </w:instrText>
            </w:r>
            <w:r w:rsidRPr="002A779F">
              <w:rPr>
                <w:rFonts w:ascii="Arial" w:eastAsia="Times New Roman" w:hAnsi="Arial" w:cs="Arial"/>
                <w:sz w:val="18"/>
                <w:szCs w:val="18"/>
              </w:rPr>
              <w:fldChar w:fldCharType="separate"/>
            </w:r>
            <w:r w:rsidRPr="002A779F">
              <w:rPr>
                <w:rFonts w:ascii="Arial" w:eastAsia="Times New Roman" w:hAnsi="Arial" w:cs="Arial"/>
                <w:sz w:val="18"/>
                <w:szCs w:val="18"/>
              </w:rPr>
              <w:fldChar w:fldCharType="end"/>
            </w:r>
            <w:r w:rsidRPr="002A779F">
              <w:rPr>
                <w:rFonts w:ascii="Arial" w:eastAsia="Times New Roman" w:hAnsi="Arial" w:cs="Arial"/>
                <w:sz w:val="18"/>
                <w:szCs w:val="18"/>
              </w:rPr>
              <w:instrText xml:space="preserve"> continuing education credit(s).</w:instrText>
            </w:r>
          </w:p>
        </w:tc>
        <w:tc>
          <w:tcPr>
            <w:tcW w:w="1615" w:type="dxa"/>
          </w:tcPr>
          <w:p w:rsidR="002A779F" w:rsidRPr="002A779F" w:rsidP="002A779F">
            <w:pPr>
              <w:spacing w:after="0" w:line="240" w:lineRule="auto"/>
              <w:contextualSpacing/>
              <w:rPr>
                <w:rFonts w:ascii="Arial" w:eastAsia="Times New Roman" w:hAnsi="Arial" w:cs="Arial"/>
                <w:sz w:val="18"/>
                <w:szCs w:val="18"/>
              </w:rPr>
            </w:pPr>
            <w:r w:rsidRPr="002A779F">
              <w:rPr>
                <w:rFonts w:ascii="Arial" w:eastAsia="Times New Roman" w:hAnsi="Arial" w:cs="Arial"/>
                <w:noProof/>
                <w:sz w:val="18"/>
                <w:szCs w:val="18"/>
              </w:rPr>
              <w:drawing>
                <wp:inline distT="0" distB="0" distL="0" distR="0">
                  <wp:extent cx="1347470" cy="509905"/>
                  <wp:effectExtent l="0" t="0" r="0" b="0"/>
                  <wp:docPr id="15" name="Picture 15"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SWB&#10;ACE&#10;approved continuing education"/>
                          <pic:cNvPicPr/>
                        </pic:nvPicPr>
                        <pic:blipFill>
                          <a:blip xmlns:r="http://schemas.openxmlformats.org/officeDocument/2006/relationships" r:embed="rId7"/>
                          <a:stretch>
                            <a:fillRect/>
                          </a:stretch>
                        </pic:blipFill>
                        <pic:spPr>
                          <a:xfrm>
                            <a:off x="0" y="0"/>
                            <a:ext cx="1347470" cy="509905"/>
                          </a:xfrm>
                          <a:prstGeom prst="rect">
                            <a:avLst/>
                          </a:prstGeom>
                        </pic:spPr>
                      </pic:pic>
                    </a:graphicData>
                  </a:graphic>
                </wp:inline>
              </w:drawing>
            </w:r>
          </w:p>
        </w:tc>
      </w:tr>
    </w:tbl>
    <w:p w:rsidR="002A779F" w:rsidRPr="002A779F" w:rsidP="002A779F">
      <w:pPr>
        <w:spacing w:after="0" w:line="240" w:lineRule="auto"/>
        <w:contextualSpacing/>
        <w:rPr>
          <w:rFonts w:ascii="Arial" w:eastAsia="Times New Roman" w:hAnsi="Arial" w:cs="Arial"/>
          <w:sz w:val="18"/>
          <w:szCs w:val="18"/>
        </w:rPr>
      </w:pPr>
      <w:r w:rsidRPr="002A779F">
        <w:rPr>
          <w:rFonts w:ascii="Arial" w:eastAsia="Times New Roman" w:hAnsi="Arial" w:cs="Arial"/>
          <w:sz w:val="18"/>
          <w:szCs w:val="18"/>
        </w:rPr>
        <w:instrText xml:space="preserve">" "" </w:instrText>
      </w:r>
      <w:r w:rsidRPr="002A779F">
        <w:rPr>
          <w:rFonts w:ascii="Arial" w:eastAsia="Times New Roman" w:hAnsi="Arial" w:cs="Arial"/>
          <w:sz w:val="18"/>
          <w:szCs w:val="18"/>
        </w:rPr>
        <w:fldChar w:fldCharType="separate"/>
      </w:r>
      <w:r w:rsidRPr="002A779F">
        <w:rPr>
          <w:rFonts w:ascii="Arial" w:eastAsia="Times New Roman" w:hAnsi="Arial" w:cs="Arial"/>
          <w:sz w:val="18"/>
          <w:szCs w:val="18"/>
        </w:rPr>
        <w:fldChar w:fldCharType="end"/>
      </w:r>
      <w:r w:rsidRPr="002A779F">
        <w:rPr>
          <w:rFonts w:ascii="Arial" w:eastAsia="Times New Roman" w:hAnsi="Arial" w:cs="Arial"/>
          <w:sz w:val="18"/>
          <w:szCs w:val="18"/>
        </w:rPr>
        <w:fldChar w:fldCharType="begin"/>
      </w:r>
      <w:r w:rsidRPr="002A779F">
        <w:rPr>
          <w:rFonts w:ascii="Arial" w:eastAsia="Times New Roman" w:hAnsi="Arial" w:cs="Arial"/>
          <w:sz w:val="18"/>
          <w:szCs w:val="18"/>
        </w:rPr>
        <w:instrText xml:space="preserve"> IF </w:instrText>
      </w:r>
      <w:r w:rsidRPr="002A779F">
        <w:rPr>
          <w:rFonts w:ascii="Arial" w:eastAsia="Times New Roman" w:hAnsi="Arial" w:cs="Arial"/>
          <w:sz w:val="18"/>
          <w:szCs w:val="18"/>
        </w:rPr>
        <w:fldChar w:fldCharType="begin"/>
      </w:r>
      <w:r w:rsidRPr="002A779F">
        <w:rPr>
          <w:rFonts w:ascii="Arial" w:eastAsia="Times New Roman" w:hAnsi="Arial" w:cs="Arial"/>
          <w:sz w:val="18"/>
          <w:szCs w:val="18"/>
        </w:rPr>
        <w:instrText xml:space="preserve"> = </w:instrText>
      </w:r>
      <w:r w:rsidRPr="002A779F">
        <w:rPr>
          <w:rFonts w:ascii="Arial" w:eastAsia="Times New Roman" w:hAnsi="Arial" w:cs="Arial"/>
          <w:sz w:val="18"/>
          <w:szCs w:val="18"/>
        </w:rPr>
        <w:instrText>1.00</w:instrText>
      </w:r>
      <w:r w:rsidRPr="002A779F">
        <w:rPr>
          <w:rFonts w:ascii="Arial" w:eastAsia="Times New Roman" w:hAnsi="Arial" w:cs="Arial"/>
          <w:sz w:val="18"/>
          <w:szCs w:val="18"/>
        </w:rPr>
        <w:instrText xml:space="preserve"> + </w:instrText>
      </w:r>
      <w:r w:rsidRPr="002A779F">
        <w:rPr>
          <w:rFonts w:ascii="Arial" w:eastAsia="Times New Roman" w:hAnsi="Arial" w:cs="Arial"/>
          <w:sz w:val="18"/>
          <w:szCs w:val="18"/>
        </w:rPr>
        <w:instrText>0.00</w:instrText>
      </w:r>
      <w:r w:rsidRPr="002A779F">
        <w:rPr>
          <w:rFonts w:ascii="Arial" w:eastAsia="Times New Roman" w:hAnsi="Arial" w:cs="Arial"/>
          <w:sz w:val="18"/>
          <w:szCs w:val="18"/>
        </w:rPr>
        <w:instrText xml:space="preserve"> </w:instrText>
      </w:r>
      <w:r w:rsidRPr="002A779F">
        <w:rPr>
          <w:rFonts w:ascii="Arial" w:eastAsia="Times New Roman" w:hAnsi="Arial" w:cs="Arial"/>
          <w:sz w:val="18"/>
          <w:szCs w:val="18"/>
        </w:rPr>
        <w:fldChar w:fldCharType="separate"/>
      </w:r>
      <w:r w:rsidRPr="002A779F">
        <w:rPr>
          <w:rFonts w:ascii="Arial" w:eastAsia="Times New Roman" w:hAnsi="Arial" w:cs="Arial"/>
          <w:sz w:val="18"/>
          <w:szCs w:val="18"/>
        </w:rPr>
        <w:instrText>1</w:instrText>
      </w:r>
      <w:r w:rsidRPr="002A779F">
        <w:rPr>
          <w:rFonts w:ascii="Arial" w:eastAsia="Times New Roman" w:hAnsi="Arial" w:cs="Arial"/>
          <w:sz w:val="18"/>
          <w:szCs w:val="18"/>
        </w:rPr>
        <w:fldChar w:fldCharType="end"/>
      </w:r>
      <w:r w:rsidRPr="002A779F">
        <w:rPr>
          <w:rFonts w:ascii="Arial" w:eastAsia="Times New Roman" w:hAnsi="Arial" w:cs="Arial"/>
          <w:sz w:val="18"/>
          <w:szCs w:val="18"/>
        </w:rPr>
        <w:instrText xml:space="preserve"> &gt; 0 "</w:instrText>
      </w:r>
    </w:p>
    <w:tbl>
      <w:tblPr>
        <w:tblStyle w:val="TableGrid1"/>
        <w:tblW w:w="10260" w:type="dxa"/>
        <w:tblBorders>
          <w:top w:val="nil"/>
          <w:left w:val="nil"/>
          <w:bottom w:val="nil"/>
          <w:right w:val="nil"/>
          <w:insideH w:val="nil"/>
          <w:insideV w:val="nil"/>
        </w:tblBorders>
        <w:tblLook w:val="04A0"/>
      </w:tblPr>
      <w:tblGrid>
        <w:gridCol w:w="8730"/>
        <w:gridCol w:w="1530"/>
      </w:tblGrid>
      <w:tr w:rsidTr="00A43AB2">
        <w:tblPrEx>
          <w:tblW w:w="10260" w:type="dxa"/>
          <w:tblBorders>
            <w:top w:val="nil"/>
            <w:left w:val="nil"/>
            <w:bottom w:val="nil"/>
            <w:right w:val="nil"/>
            <w:insideH w:val="nil"/>
            <w:insideV w:val="nil"/>
          </w:tblBorders>
          <w:tblLook w:val="04A0"/>
        </w:tblPrEx>
        <w:tc>
          <w:tcPr>
            <w:tcW w:w="8730" w:type="dxa"/>
          </w:tcPr>
          <w:p w:rsidR="002A779F" w:rsidRPr="002A779F" w:rsidP="002A779F">
            <w:pPr>
              <w:spacing w:after="0" w:line="240" w:lineRule="auto"/>
              <w:ind w:right="-20"/>
              <w:contextualSpacing/>
              <w:rPr>
                <w:rFonts w:ascii="Arial" w:eastAsia="Times New Roman" w:hAnsi="Arial" w:cs="Arial"/>
                <w:sz w:val="18"/>
                <w:szCs w:val="18"/>
              </w:rPr>
            </w:pPr>
            <w:r w:rsidRPr="002A779F">
              <w:rPr>
                <w:rFonts w:ascii="Arial" w:eastAsia="Times New Roman" w:hAnsi="Arial" w:cs="Arial"/>
                <w:sz w:val="18"/>
                <w:szCs w:val="18"/>
              </w:rPr>
              <w:instrText xml:space="preserve">MaineHealth has been authorized by the American Academy of PAs (AAPA) to award AAPA Category 1 CME credit for activities planned in accordance with AAPA CME Criteria. This activity is designated for </w:instrText>
            </w:r>
            <w:r w:rsidRPr="002A779F">
              <w:rPr>
                <w:rFonts w:ascii="Arial" w:eastAsia="Times New Roman" w:hAnsi="Arial" w:cs="Arial"/>
                <w:sz w:val="18"/>
                <w:szCs w:val="18"/>
              </w:rPr>
              <w:fldChar w:fldCharType="begin"/>
            </w:r>
            <w:r w:rsidRPr="002A779F">
              <w:rPr>
                <w:rFonts w:ascii="Arial" w:eastAsia="Times New Roman" w:hAnsi="Arial" w:cs="Arial"/>
                <w:sz w:val="18"/>
                <w:szCs w:val="18"/>
              </w:rPr>
              <w:instrText xml:space="preserve"> = </w:instrText>
            </w:r>
            <w:r w:rsidRPr="002A779F">
              <w:rPr>
                <w:rFonts w:ascii="Arial" w:eastAsia="Times New Roman" w:hAnsi="Arial" w:cs="Arial"/>
                <w:sz w:val="18"/>
                <w:szCs w:val="18"/>
              </w:rPr>
              <w:instrText>1.00</w:instrText>
            </w:r>
            <w:r w:rsidRPr="002A779F">
              <w:rPr>
                <w:rFonts w:ascii="Arial" w:eastAsia="Times New Roman" w:hAnsi="Arial" w:cs="Arial"/>
                <w:sz w:val="18"/>
                <w:szCs w:val="18"/>
              </w:rPr>
              <w:instrText xml:space="preserve"> + </w:instrText>
            </w:r>
            <w:r w:rsidRPr="002A779F">
              <w:rPr>
                <w:rFonts w:ascii="Arial" w:eastAsia="Times New Roman" w:hAnsi="Arial" w:cs="Arial"/>
                <w:sz w:val="18"/>
                <w:szCs w:val="18"/>
              </w:rPr>
              <w:instrText>0.00</w:instrText>
            </w:r>
            <w:r w:rsidRPr="002A779F">
              <w:rPr>
                <w:rFonts w:ascii="Arial" w:eastAsia="Times New Roman" w:hAnsi="Arial" w:cs="Arial"/>
                <w:sz w:val="18"/>
                <w:szCs w:val="18"/>
              </w:rPr>
              <w:instrText xml:space="preserve"> \# 0.00# </w:instrText>
            </w:r>
            <w:r w:rsidRPr="002A779F">
              <w:rPr>
                <w:rFonts w:ascii="Arial" w:eastAsia="Times New Roman" w:hAnsi="Arial" w:cs="Arial"/>
                <w:sz w:val="18"/>
                <w:szCs w:val="18"/>
              </w:rPr>
              <w:fldChar w:fldCharType="separate"/>
            </w:r>
            <w:r w:rsidRPr="002A779F">
              <w:rPr>
                <w:rFonts w:ascii="Arial" w:eastAsia="Times New Roman" w:hAnsi="Arial" w:cs="Arial"/>
                <w:sz w:val="18"/>
                <w:szCs w:val="18"/>
              </w:rPr>
              <w:instrText>1.00</w:instrText>
            </w:r>
            <w:r w:rsidRPr="002A779F">
              <w:rPr>
                <w:rFonts w:ascii="Arial" w:eastAsia="Times New Roman" w:hAnsi="Arial" w:cs="Arial"/>
                <w:sz w:val="18"/>
                <w:szCs w:val="18"/>
              </w:rPr>
              <w:fldChar w:fldCharType="end"/>
            </w:r>
            <w:r w:rsidRPr="002A779F">
              <w:rPr>
                <w:rFonts w:ascii="Arial" w:eastAsia="Times New Roman" w:hAnsi="Arial" w:cs="Arial"/>
                <w:sz w:val="18"/>
                <w:szCs w:val="18"/>
              </w:rPr>
              <w:instrText xml:space="preserve"> AAPA Category 1 CME credits.</w:instrText>
            </w:r>
            <w:r w:rsidRPr="002A779F">
              <w:rPr>
                <w:rFonts w:ascii="Arial" w:eastAsia="Times New Roman" w:hAnsi="Arial" w:cs="Arial"/>
                <w:sz w:val="18"/>
                <w:szCs w:val="18"/>
              </w:rPr>
              <w:fldChar w:fldCharType="begin"/>
            </w:r>
            <w:r w:rsidRPr="002A779F">
              <w:rPr>
                <w:rFonts w:ascii="Arial" w:eastAsia="Times New Roman" w:hAnsi="Arial" w:cs="Arial"/>
                <w:sz w:val="18"/>
                <w:szCs w:val="18"/>
              </w:rPr>
              <w:instrText xml:space="preserve"> IF </w:instrText>
            </w:r>
            <w:r w:rsidRPr="002A779F">
              <w:rPr>
                <w:rFonts w:ascii="Arial" w:eastAsia="Times New Roman" w:hAnsi="Arial" w:cs="Arial"/>
                <w:sz w:val="18"/>
                <w:szCs w:val="18"/>
              </w:rPr>
              <w:instrText>"</w:instrText>
            </w:r>
            <w:r w:rsidRPr="002A779F">
              <w:rPr>
                <w:rFonts w:ascii="Arial" w:eastAsia="Times New Roman" w:hAnsi="Arial" w:cs="Arial"/>
                <w:sz w:val="18"/>
                <w:szCs w:val="18"/>
              </w:rPr>
              <w:instrText>Live Activity</w:instrText>
            </w:r>
            <w:r w:rsidRPr="002A779F">
              <w:rPr>
                <w:rFonts w:ascii="Arial" w:eastAsia="Times New Roman" w:hAnsi="Arial" w:cs="Arial"/>
                <w:sz w:val="18"/>
                <w:szCs w:val="18"/>
              </w:rPr>
              <w:instrText>"</w:instrText>
            </w:r>
            <w:r w:rsidRPr="002A779F">
              <w:rPr>
                <w:rFonts w:ascii="Arial" w:eastAsia="Times New Roman" w:hAnsi="Arial" w:cs="Arial"/>
                <w:sz w:val="18"/>
                <w:szCs w:val="18"/>
              </w:rPr>
              <w:instrText xml:space="preserve"> = "Enduring Material" " Approval is valid until </w:instrText>
            </w:r>
            <w:r w:rsidRPr="002A779F">
              <w:rPr>
                <w:rFonts w:ascii="Arial" w:eastAsia="Times New Roman" w:hAnsi="Arial" w:cs="Arial"/>
                <w:sz w:val="18"/>
                <w:szCs w:val="18"/>
              </w:rPr>
              <w:fldChar w:fldCharType="begin"/>
            </w:r>
            <w:r w:rsidRPr="002A779F">
              <w:rPr>
                <w:rFonts w:ascii="Arial" w:eastAsia="Times New Roman" w:hAnsi="Arial" w:cs="Arial"/>
                <w:sz w:val="18"/>
                <w:szCs w:val="18"/>
              </w:rPr>
              <w:instrText xml:space="preserve"> MERGEFIELD EndTime \@ "MM/dd/yyyy" </w:instrText>
            </w:r>
            <w:r w:rsidRPr="002A779F">
              <w:rPr>
                <w:rFonts w:ascii="Arial" w:eastAsia="Times New Roman" w:hAnsi="Arial" w:cs="Arial"/>
                <w:sz w:val="18"/>
                <w:szCs w:val="18"/>
              </w:rPr>
              <w:fldChar w:fldCharType="separate"/>
            </w:r>
            <w:r w:rsidRPr="002A779F">
              <w:rPr>
                <w:rFonts w:ascii="Arial" w:eastAsia="Times New Roman" w:hAnsi="Arial" w:cs="Arial"/>
                <w:sz w:val="18"/>
                <w:szCs w:val="18"/>
              </w:rPr>
              <w:fldChar w:fldCharType="end"/>
            </w:r>
            <w:r w:rsidRPr="002A779F">
              <w:rPr>
                <w:rFonts w:ascii="Arial" w:eastAsia="Times New Roman" w:hAnsi="Arial" w:cs="Arial"/>
                <w:sz w:val="18"/>
                <w:szCs w:val="18"/>
              </w:rPr>
              <w:instrText xml:space="preserve">." "" </w:instrText>
            </w:r>
            <w:r w:rsidRPr="002A779F">
              <w:rPr>
                <w:rFonts w:ascii="Arial" w:eastAsia="Times New Roman" w:hAnsi="Arial" w:cs="Arial"/>
                <w:sz w:val="18"/>
                <w:szCs w:val="18"/>
              </w:rPr>
              <w:fldChar w:fldCharType="separate"/>
            </w:r>
            <w:r w:rsidRPr="002A779F">
              <w:rPr>
                <w:rFonts w:ascii="Arial" w:eastAsia="Times New Roman" w:hAnsi="Arial" w:cs="Arial"/>
                <w:sz w:val="18"/>
                <w:szCs w:val="18"/>
              </w:rPr>
              <w:fldChar w:fldCharType="end"/>
            </w:r>
            <w:r w:rsidRPr="002A779F">
              <w:rPr>
                <w:rFonts w:ascii="Arial" w:eastAsia="Times New Roman" w:hAnsi="Arial" w:cs="Arial"/>
                <w:sz w:val="18"/>
                <w:szCs w:val="18"/>
              </w:rPr>
              <w:instrText xml:space="preserve"> PAs should only claim credit commensurate with the extent of their participation.</w:instrText>
            </w:r>
          </w:p>
        </w:tc>
        <w:tc>
          <w:tcPr>
            <w:tcW w:w="1530" w:type="dxa"/>
          </w:tcPr>
          <w:p w:rsidR="002A779F" w:rsidRPr="002A779F" w:rsidP="002A779F">
            <w:pPr>
              <w:spacing w:after="0" w:line="240" w:lineRule="auto"/>
              <w:contextualSpacing/>
              <w:rPr>
                <w:rFonts w:ascii="Arial" w:eastAsia="Times New Roman" w:hAnsi="Arial" w:cs="Arial"/>
                <w:sz w:val="18"/>
                <w:szCs w:val="18"/>
              </w:rPr>
            </w:pPr>
            <w:r w:rsidRPr="002A779F">
              <w:rPr>
                <w:rFonts w:ascii="Arial" w:eastAsia="Times New Roman" w:hAnsi="Arial" w:cs="Arial"/>
                <w:noProof/>
                <w:sz w:val="18"/>
                <w:szCs w:val="18"/>
              </w:rPr>
              <w:drawing>
                <wp:inline distT="0" distB="0" distL="0" distR="0">
                  <wp:extent cx="795528" cy="795528"/>
                  <wp:effectExtent l="0" t="0" r="5080" b="5080"/>
                  <wp:docPr id="17" name="Picture 17" descr="PA&#10;AAPA CATEGORY 1 C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A&#10;AAPA CATEGORY 1 CME"/>
                          <pic:cNvPicPr/>
                        </pic:nvPicPr>
                        <pic:blipFill>
                          <a:blip xmlns:r="http://schemas.openxmlformats.org/officeDocument/2006/relationships" r:embed="rId8">
                            <a:extLst>
                              <a:ext uri="{28A0092B-C50C-407E-A947-70E740481C1C}">
                                <a14:useLocalDpi xmlns:a14="http://schemas.microsoft.com/office/drawing/2010/main" val="0"/>
                              </a:ext>
                            </a:extLst>
                          </a:blip>
                          <a:stretch>
                            <a:fillRect/>
                          </a:stretch>
                        </pic:blipFill>
                        <pic:spPr>
                          <a:xfrm>
                            <a:off x="0" y="0"/>
                            <a:ext cx="795528" cy="795528"/>
                          </a:xfrm>
                          <a:prstGeom prst="rect">
                            <a:avLst/>
                          </a:prstGeom>
                        </pic:spPr>
                      </pic:pic>
                    </a:graphicData>
                  </a:graphic>
                </wp:inline>
              </w:drawing>
            </w:r>
          </w:p>
        </w:tc>
      </w:tr>
    </w:tbl>
    <w:p w:rsidR="002A779F" w:rsidRPr="002A779F" w:rsidP="002A779F">
      <w:pPr>
        <w:spacing w:after="0" w:line="240" w:lineRule="auto"/>
        <w:contextualSpacing/>
        <w:rPr>
          <w:rFonts w:ascii="Arial" w:eastAsia="Times New Roman" w:hAnsi="Arial" w:cs="Arial"/>
          <w:sz w:val="18"/>
          <w:szCs w:val="18"/>
        </w:rPr>
      </w:pPr>
      <w:r w:rsidRPr="002A779F">
        <w:rPr>
          <w:rFonts w:ascii="Arial" w:eastAsia="Times New Roman" w:hAnsi="Arial" w:cs="Arial"/>
          <w:sz w:val="18"/>
          <w:szCs w:val="18"/>
        </w:rPr>
        <w:instrText xml:space="preserve">" "" </w:instrText>
      </w:r>
      <w:r w:rsidRPr="002A779F">
        <w:rPr>
          <w:rFonts w:ascii="Arial" w:eastAsia="Times New Roman" w:hAnsi="Arial" w:cs="Arial"/>
          <w:sz w:val="18"/>
          <w:szCs w:val="18"/>
        </w:rPr>
        <w:fldChar w:fldCharType="separate"/>
      </w:r>
    </w:p>
    <w:tbl>
      <w:tblPr>
        <w:tblStyle w:val="TableGrid1"/>
        <w:tblW w:w="10260" w:type="dxa"/>
        <w:tblBorders>
          <w:top w:val="nil"/>
          <w:left w:val="nil"/>
          <w:bottom w:val="nil"/>
          <w:right w:val="nil"/>
          <w:insideH w:val="nil"/>
          <w:insideV w:val="nil"/>
        </w:tblBorders>
        <w:tblLook w:val="04A0"/>
      </w:tblPr>
      <w:tblGrid>
        <w:gridCol w:w="8730"/>
        <w:gridCol w:w="1530"/>
      </w:tblGrid>
      <w:tr w:rsidTr="00A43AB2">
        <w:tblPrEx>
          <w:tblW w:w="10260" w:type="dxa"/>
          <w:tblBorders>
            <w:top w:val="nil"/>
            <w:left w:val="nil"/>
            <w:bottom w:val="nil"/>
            <w:right w:val="nil"/>
            <w:insideH w:val="nil"/>
            <w:insideV w:val="nil"/>
          </w:tblBorders>
          <w:tblLook w:val="04A0"/>
        </w:tblPrEx>
        <w:tc>
          <w:tcPr>
            <w:tcW w:w="8730" w:type="dxa"/>
          </w:tcPr>
          <w:p w:rsidR="002A779F" w:rsidRPr="002A779F" w:rsidP="002A779F">
            <w:pPr>
              <w:spacing w:after="0" w:line="240" w:lineRule="auto"/>
              <w:ind w:right="-20"/>
              <w:contextualSpacing/>
              <w:rPr>
                <w:rFonts w:ascii="Arial" w:eastAsia="Times New Roman" w:hAnsi="Arial" w:cs="Arial"/>
                <w:sz w:val="18"/>
                <w:szCs w:val="18"/>
              </w:rPr>
            </w:pPr>
            <w:r w:rsidRPr="002A779F">
              <w:rPr>
                <w:rFonts w:ascii="Arial" w:eastAsia="Times New Roman" w:hAnsi="Arial" w:cs="Arial"/>
                <w:sz w:val="18"/>
                <w:szCs w:val="18"/>
              </w:rPr>
              <w:t xml:space="preserve">MaineHealth has been authorized by the American Academy of PAs (AAPA) to award AAPA Category 1 CME credit for activities planned in accordance with AAPA CME Criteria. This activity is designated for </w:t>
            </w:r>
            <w:r w:rsidRPr="002A779F">
              <w:rPr>
                <w:rFonts w:ascii="Arial" w:eastAsia="Times New Roman" w:hAnsi="Arial" w:cs="Arial"/>
                <w:sz w:val="18"/>
                <w:szCs w:val="18"/>
              </w:rPr>
              <w:t>1.00</w:t>
            </w:r>
            <w:r w:rsidRPr="002A779F">
              <w:rPr>
                <w:rFonts w:ascii="Arial" w:eastAsia="Times New Roman" w:hAnsi="Arial" w:cs="Arial"/>
                <w:sz w:val="18"/>
                <w:szCs w:val="18"/>
              </w:rPr>
              <w:t xml:space="preserve"> AAPA Category 1 CME credits.</w:t>
            </w:r>
            <w:r w:rsidRPr="002A779F">
              <w:rPr>
                <w:rFonts w:ascii="Arial" w:eastAsia="Times New Roman" w:hAnsi="Arial" w:cs="Arial"/>
                <w:sz w:val="18"/>
                <w:szCs w:val="18"/>
              </w:rPr>
              <w:t xml:space="preserve"> PAs should only claim credit commensurate with the extent of their participation.</w:t>
            </w:r>
          </w:p>
        </w:tc>
        <w:tc>
          <w:tcPr>
            <w:tcW w:w="1530" w:type="dxa"/>
          </w:tcPr>
          <w:p w:rsidR="002A779F" w:rsidRPr="002A779F" w:rsidP="002A779F">
            <w:pPr>
              <w:spacing w:after="0" w:line="240" w:lineRule="auto"/>
              <w:contextualSpacing/>
              <w:rPr>
                <w:rFonts w:ascii="Arial" w:eastAsia="Times New Roman" w:hAnsi="Arial" w:cs="Arial"/>
                <w:sz w:val="18"/>
                <w:szCs w:val="18"/>
              </w:rPr>
            </w:pPr>
            <w:r w:rsidRPr="002A779F">
              <w:rPr>
                <w:rFonts w:ascii="Arial" w:eastAsia="Times New Roman" w:hAnsi="Arial" w:cs="Arial"/>
                <w:noProof/>
                <w:sz w:val="18"/>
                <w:szCs w:val="18"/>
              </w:rPr>
              <w:drawing>
                <wp:inline distT="0" distB="0" distL="0" distR="0">
                  <wp:extent cx="795528" cy="795528"/>
                  <wp:effectExtent l="0" t="0" r="5080" b="5080"/>
                  <wp:docPr id="1336434300" name="Picture 17" descr="PA&#10;AAPA CATEGORY 1 C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A&#10;AAPA CATEGORY 1 CME"/>
                          <pic:cNvPicPr/>
                        </pic:nvPicPr>
                        <pic:blipFill>
                          <a:blip xmlns:r="http://schemas.openxmlformats.org/officeDocument/2006/relationships" r:embed="rId8">
                            <a:extLst>
                              <a:ext uri="{28A0092B-C50C-407E-A947-70E740481C1C}">
                                <a14:useLocalDpi xmlns:a14="http://schemas.microsoft.com/office/drawing/2010/main" val="0"/>
                              </a:ext>
                            </a:extLst>
                          </a:blip>
                          <a:stretch>
                            <a:fillRect/>
                          </a:stretch>
                        </pic:blipFill>
                        <pic:spPr>
                          <a:xfrm>
                            <a:off x="0" y="0"/>
                            <a:ext cx="795528" cy="795528"/>
                          </a:xfrm>
                          <a:prstGeom prst="rect">
                            <a:avLst/>
                          </a:prstGeom>
                        </pic:spPr>
                      </pic:pic>
                    </a:graphicData>
                  </a:graphic>
                </wp:inline>
              </w:drawing>
            </w:r>
          </w:p>
        </w:tc>
      </w:tr>
    </w:tbl>
    <w:p w:rsidRPr="002A779F" w:rsidP="002A779F">
      <w:pPr>
        <w:spacing w:after="0" w:line="240" w:lineRule="auto"/>
        <w:contextualSpacing/>
        <w:rPr>
          <w:rFonts w:ascii="Arial" w:eastAsia="Times New Roman" w:hAnsi="Arial" w:cs="Arial"/>
          <w:sz w:val="18"/>
          <w:szCs w:val="18"/>
        </w:rPr>
      </w:pPr>
      <w:r w:rsidRPr="002A779F">
        <w:rPr>
          <w:rFonts w:ascii="Arial" w:eastAsia="Times New Roman" w:hAnsi="Arial" w:cs="Arial"/>
          <w:sz w:val="18"/>
          <w:szCs w:val="18"/>
        </w:rPr>
        <w:fldChar w:fldCharType="end"/>
      </w:r>
      <w:r w:rsidRPr="002A779F">
        <w:rPr>
          <w:rFonts w:ascii="Arial" w:eastAsia="Times New Roman" w:hAnsi="Arial" w:cs="Arial"/>
          <w:sz w:val="18"/>
          <w:szCs w:val="18"/>
        </w:rPr>
        <w:fldChar w:fldCharType="begin"/>
      </w:r>
      <w:r w:rsidRPr="002A779F">
        <w:rPr>
          <w:rFonts w:ascii="Arial" w:eastAsia="Times New Roman" w:hAnsi="Arial" w:cs="Arial"/>
          <w:sz w:val="18"/>
          <w:szCs w:val="18"/>
        </w:rPr>
        <w:instrText xml:space="preserve"> IF </w:instrText>
      </w:r>
      <w:r w:rsidRPr="002A779F">
        <w:rPr>
          <w:rFonts w:ascii="Arial" w:eastAsia="Times New Roman" w:hAnsi="Arial" w:cs="Arial"/>
          <w:sz w:val="18"/>
          <w:szCs w:val="18"/>
        </w:rPr>
        <w:instrText>0.00</w:instrText>
      </w:r>
      <w:r w:rsidRPr="002A779F">
        <w:rPr>
          <w:rFonts w:ascii="Arial" w:eastAsia="Times New Roman" w:hAnsi="Arial" w:cs="Arial"/>
          <w:sz w:val="18"/>
          <w:szCs w:val="18"/>
        </w:rPr>
        <w:instrText xml:space="preserve"> &gt; 0 "</w:instrText>
      </w:r>
    </w:p>
    <w:tbl>
      <w:tblPr>
        <w:tblStyle w:val="TableGrid1"/>
        <w:tblW w:w="10260" w:type="dxa"/>
        <w:tblBorders>
          <w:top w:val="nil"/>
          <w:left w:val="nil"/>
          <w:bottom w:val="nil"/>
          <w:right w:val="nil"/>
          <w:insideH w:val="nil"/>
          <w:insideV w:val="nil"/>
        </w:tblBorders>
        <w:tblLook w:val="04A0"/>
      </w:tblPr>
      <w:tblGrid>
        <w:gridCol w:w="8284"/>
        <w:gridCol w:w="1976"/>
      </w:tblGrid>
      <w:tr w:rsidTr="00A43AB2">
        <w:tblPrEx>
          <w:tblW w:w="10260" w:type="dxa"/>
          <w:tblBorders>
            <w:top w:val="nil"/>
            <w:left w:val="nil"/>
            <w:bottom w:val="nil"/>
            <w:right w:val="nil"/>
            <w:insideH w:val="nil"/>
            <w:insideV w:val="nil"/>
          </w:tblBorders>
          <w:tblLook w:val="04A0"/>
        </w:tblPrEx>
        <w:tc>
          <w:tcPr>
            <w:tcW w:w="8814" w:type="dxa"/>
          </w:tcPr>
          <w:p w:rsidR="002A779F" w:rsidRPr="002A779F" w:rsidP="002A779F">
            <w:pPr>
              <w:spacing w:after="0" w:line="240" w:lineRule="auto"/>
              <w:ind w:right="-19"/>
              <w:contextualSpacing/>
              <w:rPr>
                <w:rFonts w:ascii="Arial" w:eastAsia="Times New Roman" w:hAnsi="Arial" w:cs="Arial"/>
                <w:sz w:val="18"/>
                <w:szCs w:val="18"/>
              </w:rPr>
            </w:pPr>
            <w:r w:rsidRPr="002A779F">
              <w:rPr>
                <w:rFonts w:ascii="Arial" w:eastAsia="Times New Roman" w:hAnsi="Arial" w:cs="Arial"/>
                <w:sz w:val="18"/>
                <w:szCs w:val="18"/>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p>
        </w:tc>
        <w:tc>
          <w:tcPr>
            <w:tcW w:w="1446" w:type="dxa"/>
          </w:tcPr>
          <w:p w:rsidR="002A779F" w:rsidRPr="002A779F" w:rsidP="002A779F">
            <w:pPr>
              <w:spacing w:after="0" w:line="240" w:lineRule="auto"/>
              <w:contextualSpacing/>
              <w:rPr>
                <w:rFonts w:ascii="Arial" w:eastAsia="Times New Roman" w:hAnsi="Arial" w:cs="Arial"/>
                <w:sz w:val="18"/>
                <w:szCs w:val="18"/>
              </w:rPr>
            </w:pPr>
            <w:r w:rsidRPr="002A779F">
              <w:rPr>
                <w:rFonts w:ascii="Arial" w:eastAsia="Times New Roman" w:hAnsi="Arial" w:cs="Arial"/>
                <w:noProof/>
                <w:sz w:val="18"/>
                <w:szCs w:val="18"/>
              </w:rPr>
              <w:drawing>
                <wp:inline distT="0" distB="0" distL="0" distR="0">
                  <wp:extent cx="1113155" cy="419100"/>
                  <wp:effectExtent l="0" t="0" r="4445" b="0"/>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xmlns:r="http://schemas.openxmlformats.org/officeDocument/2006/relationships" r:embed="rId9"/>
                          <a:stretch>
                            <a:fillRect/>
                          </a:stretch>
                        </pic:blipFill>
                        <pic:spPr>
                          <a:xfrm>
                            <a:off x="0" y="0"/>
                            <a:ext cx="1113155" cy="419100"/>
                          </a:xfrm>
                          <a:prstGeom prst="rect">
                            <a:avLst/>
                          </a:prstGeom>
                        </pic:spPr>
                      </pic:pic>
                    </a:graphicData>
                  </a:graphic>
                </wp:inline>
              </w:drawing>
            </w:r>
          </w:p>
        </w:tc>
      </w:tr>
    </w:tbl>
    <w:p w:rsidR="00820EAE" w:rsidP="002A779F">
      <w:pPr>
        <w:spacing w:after="0" w:line="240" w:lineRule="auto"/>
        <w:contextualSpacing/>
        <w:rPr>
          <w:rFonts w:ascii="Arial" w:eastAsia="Times New Roman" w:hAnsi="Arial" w:cs="Arial"/>
          <w:sz w:val="18"/>
          <w:szCs w:val="18"/>
        </w:rPr>
      </w:pPr>
      <w:r w:rsidRPr="002A779F">
        <w:rPr>
          <w:rFonts w:ascii="Arial" w:eastAsia="Times New Roman" w:hAnsi="Arial" w:cs="Arial"/>
          <w:sz w:val="18"/>
          <w:szCs w:val="18"/>
        </w:rPr>
        <w:instrText xml:space="preserve">" "" </w:instrText>
      </w:r>
      <w:r w:rsidRPr="002A779F">
        <w:rPr>
          <w:rFonts w:ascii="Arial" w:eastAsia="Times New Roman" w:hAnsi="Arial" w:cs="Arial"/>
          <w:sz w:val="18"/>
          <w:szCs w:val="18"/>
        </w:rPr>
        <w:fldChar w:fldCharType="separate"/>
      </w:r>
      <w:r w:rsidRPr="002A779F">
        <w:rPr>
          <w:rFonts w:ascii="Arial" w:eastAsia="Times New Roman" w:hAnsi="Arial" w:cs="Arial"/>
          <w:sz w:val="18"/>
          <w:szCs w:val="18"/>
        </w:rPr>
        <w:fldChar w:fldCharType="end"/>
      </w:r>
      <w:r>
        <w:rPr>
          <w:rFonts w:ascii="Arial" w:eastAsia="Times New Roman" w:hAnsi="Arial" w:cs="Arial"/>
          <w:sz w:val="18"/>
          <w:szCs w:val="18"/>
        </w:rPr>
        <w:fldChar w:fldCharType="begin"/>
      </w:r>
      <w:r>
        <w:rPr>
          <w:rFonts w:ascii="Arial" w:eastAsia="Times New Roman" w:hAnsi="Arial" w:cs="Arial"/>
          <w:sz w:val="18"/>
          <w:szCs w:val="18"/>
        </w:rPr>
        <w:instrText xml:space="preserve"> IF </w:instrText>
      </w:r>
      <w:r>
        <w:rPr>
          <w:rFonts w:ascii="Arial" w:eastAsia="Times New Roman" w:hAnsi="Arial" w:cs="Arial"/>
          <w:sz w:val="18"/>
          <w:szCs w:val="18"/>
        </w:rPr>
        <w:instrText>0.00</w:instrText>
      </w:r>
      <w:r>
        <w:rPr>
          <w:rFonts w:ascii="Arial" w:eastAsia="Times New Roman" w:hAnsi="Arial" w:cs="Arial"/>
          <w:sz w:val="18"/>
          <w:szCs w:val="18"/>
        </w:rPr>
        <w:instrText xml:space="preserve"> &gt; 0 "</w:instrText>
      </w:r>
    </w:p>
    <w:p w:rsidR="002A779F" w:rsidRPr="002A779F" w:rsidP="002A779F">
      <w:pPr>
        <w:spacing w:after="0" w:line="240" w:lineRule="auto"/>
        <w:contextualSpacing/>
        <w:rPr>
          <w:rFonts w:ascii="Arial" w:eastAsia="Times New Roman" w:hAnsi="Arial" w:cs="Arial"/>
          <w:sz w:val="18"/>
          <w:szCs w:val="18"/>
        </w:rPr>
      </w:pPr>
      <w:r>
        <w:rPr>
          <w:rFonts w:ascii="Arial" w:eastAsia="Times New Roman" w:hAnsi="Arial" w:cs="Arial"/>
          <w:noProof/>
          <w:sz w:val="18"/>
          <w:szCs w:val="18"/>
        </w:rPr>
        <w:drawing>
          <wp:inline distT="0" distB="0" distL="0" distR="0">
            <wp:extent cx="6439897" cy="78434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6640257" cy="808749"/>
                    </a:xfrm>
                    <a:prstGeom prst="rect">
                      <a:avLst/>
                    </a:prstGeom>
                  </pic:spPr>
                </pic:pic>
              </a:graphicData>
            </a:graphic>
          </wp:inline>
        </w:drawing>
      </w:r>
      <w:r>
        <w:rPr>
          <w:rFonts w:ascii="Arial" w:eastAsia="Times New Roman" w:hAnsi="Arial" w:cs="Arial"/>
          <w:sz w:val="18"/>
          <w:szCs w:val="18"/>
        </w:rPr>
        <w:instrText xml:space="preserve">" "" </w:instrText>
      </w:r>
      <w:r>
        <w:rPr>
          <w:rFonts w:ascii="Arial" w:eastAsia="Times New Roman" w:hAnsi="Arial" w:cs="Arial"/>
          <w:sz w:val="18"/>
          <w:szCs w:val="18"/>
        </w:rPr>
        <w:fldChar w:fldCharType="separate"/>
      </w:r>
      <w:r>
        <w:rPr>
          <w:rFonts w:ascii="Arial" w:eastAsia="Times New Roman" w:hAnsi="Arial" w:cs="Arial"/>
          <w:sz w:val="18"/>
          <w:szCs w:val="18"/>
        </w:rPr>
        <w:fldChar w:fldCharType="end"/>
      </w:r>
    </w:p>
    <w:p w:rsidR="00386F24" w:rsidRPr="00386F24" w:rsidP="006C7647">
      <w:pPr>
        <w:spacing w:after="0" w:line="240" w:lineRule="auto"/>
        <w:contextualSpacing/>
        <w:rPr>
          <w:rFonts w:ascii="Arial" w:hAnsi="Arial" w:cs="Arial"/>
          <w:sz w:val="20"/>
          <w:szCs w:val="20"/>
        </w:rPr>
      </w:pPr>
    </w:p>
    <w:p w:rsidR="00DD5660" w:rsidP="00DD5660">
      <w:pPr>
        <w:contextualSpacing/>
        <w:rPr>
          <w:rFonts w:ascii="Arial" w:hAnsi="Arial" w:cs="Arial"/>
          <w:sz w:val="24"/>
          <w:szCs w:val="24"/>
        </w:rPr>
      </w:pPr>
      <w:r>
        <w:rPr>
          <w:rFonts w:ascii="Arial" w:hAnsi="Arial" w:cs="Arial"/>
          <w:b/>
          <w:sz w:val="24"/>
          <w:szCs w:val="24"/>
        </w:rPr>
        <w:t xml:space="preserve">Credit Designation: </w:t>
      </w:r>
      <w:r w:rsidRPr="009D238E" w:rsidR="00BB5386">
        <w:rPr>
          <w:rFonts w:ascii="Arial" w:hAnsi="Arial" w:cs="Arial"/>
          <w:sz w:val="24"/>
          <w:szCs w:val="24"/>
        </w:rPr>
        <w:t xml:space="preserve">Maine Medical Center </w:t>
      </w:r>
      <w:r w:rsidRPr="009D238E" w:rsidR="00993B4D">
        <w:rPr>
          <w:rFonts w:ascii="Arial" w:hAnsi="Arial" w:cs="Arial"/>
          <w:sz w:val="24"/>
          <w:szCs w:val="24"/>
        </w:rPr>
        <w:t>designates this educational activity for a maximum of</w:t>
      </w:r>
      <w:r w:rsidR="009D238E">
        <w:rPr>
          <w:rFonts w:ascii="Arial" w:hAnsi="Arial" w:cs="Arial"/>
          <w:sz w:val="24"/>
          <w:szCs w:val="24"/>
        </w:rPr>
        <w:t>:</w:t>
      </w:r>
      <w:r w:rsidRPr="009D238E" w:rsidR="00A43AB2">
        <w:rPr>
          <w:rFonts w:ascii="Arial" w:hAnsi="Arial" w:cs="Arial"/>
          <w:sz w:val="24"/>
          <w:szCs w:val="24"/>
        </w:rPr>
        <w:t xml:space="preserve"> </w:t>
      </w:r>
      <w:r w:rsidRPr="00A43AB2" w:rsidR="00A43AB2">
        <w:rPr>
          <w:rFonts w:ascii="Arial" w:eastAsia="Times New Roman" w:hAnsi="Arial" w:cs="Arial"/>
          <w:sz w:val="24"/>
          <w:szCs w:val="21"/>
        </w:rPr>
        <w:fldChar w:fldCharType="begin"/>
      </w:r>
      <w:r w:rsidRPr="009D238E" w:rsidR="00A43AB2">
        <w:rPr>
          <w:rFonts w:ascii="Arial" w:eastAsia="Times New Roman" w:hAnsi="Arial" w:cs="Arial"/>
          <w:sz w:val="24"/>
          <w:szCs w:val="21"/>
        </w:rPr>
        <w:instrText xml:space="preserve"> IF </w:instrText>
      </w:r>
      <w:r w:rsidRPr="009D238E" w:rsidR="00A43AB2">
        <w:rPr>
          <w:rFonts w:ascii="Arial" w:eastAsia="Times New Roman" w:hAnsi="Arial" w:cs="Arial"/>
          <w:sz w:val="24"/>
          <w:szCs w:val="21"/>
        </w:rPr>
        <w:instrText>0.00</w:instrText>
      </w:r>
      <w:r w:rsidRPr="009D238E" w:rsidR="00A43AB2">
        <w:rPr>
          <w:rFonts w:ascii="Arial" w:eastAsia="Times New Roman" w:hAnsi="Arial" w:cs="Arial"/>
          <w:sz w:val="24"/>
          <w:szCs w:val="21"/>
        </w:rPr>
        <w:instrText xml:space="preserve"> &gt; 0 "</w:instrText>
      </w:r>
      <w:r w:rsidR="009D238E">
        <w:rPr>
          <w:rFonts w:ascii="Arial" w:eastAsia="Times New Roman" w:hAnsi="Arial" w:cs="Arial"/>
          <w:sz w:val="24"/>
          <w:szCs w:val="21"/>
        </w:rPr>
        <w:fldChar w:fldCharType="begin"/>
      </w:r>
      <w:r w:rsidR="009D238E">
        <w:rPr>
          <w:rFonts w:ascii="Arial" w:eastAsia="Times New Roman" w:hAnsi="Arial" w:cs="Arial"/>
          <w:sz w:val="24"/>
          <w:szCs w:val="21"/>
        </w:rPr>
        <w:instrText xml:space="preserve"> MERGEFIELD IPCEHoursMax \# 0.00# </w:instrText>
      </w:r>
      <w:r w:rsidR="009D238E">
        <w:rPr>
          <w:rFonts w:ascii="Arial" w:eastAsia="Times New Roman" w:hAnsi="Arial" w:cs="Arial"/>
          <w:sz w:val="24"/>
          <w:szCs w:val="21"/>
        </w:rPr>
        <w:fldChar w:fldCharType="separate"/>
      </w:r>
      <w:r w:rsidR="009D238E">
        <w:rPr>
          <w:rFonts w:ascii="Arial" w:eastAsia="Times New Roman" w:hAnsi="Arial" w:cs="Arial"/>
          <w:sz w:val="24"/>
          <w:szCs w:val="21"/>
        </w:rPr>
        <w:fldChar w:fldCharType="end"/>
      </w:r>
      <w:r w:rsidR="009D238E">
        <w:rPr>
          <w:rFonts w:ascii="Arial" w:eastAsia="Times New Roman" w:hAnsi="Arial" w:cs="Arial"/>
          <w:sz w:val="24"/>
          <w:szCs w:val="21"/>
        </w:rPr>
        <w:instrText xml:space="preserve"> </w:instrText>
      </w:r>
      <w:r w:rsidRPr="00A43AB2" w:rsidR="00A43AB2">
        <w:rPr>
          <w:rFonts w:ascii="Arial" w:eastAsia="Times New Roman" w:hAnsi="Arial" w:cs="Arial"/>
          <w:iCs/>
          <w:sz w:val="24"/>
          <w:szCs w:val="21"/>
        </w:rPr>
        <w:instrText>Interprofessional Continuing Education Credit</w:instrText>
      </w:r>
      <w:r w:rsidR="009D238E">
        <w:rPr>
          <w:rFonts w:ascii="Arial" w:eastAsia="Times New Roman" w:hAnsi="Arial" w:cs="Arial"/>
          <w:iCs/>
          <w:sz w:val="24"/>
          <w:szCs w:val="21"/>
        </w:rPr>
        <w:instrText>(s);</w:instrText>
      </w:r>
      <w:r w:rsidR="00154A54">
        <w:rPr>
          <w:rFonts w:ascii="Arial" w:eastAsia="Times New Roman" w:hAnsi="Arial" w:cs="Arial"/>
          <w:iCs/>
          <w:sz w:val="24"/>
          <w:szCs w:val="21"/>
        </w:rPr>
        <w:instrText xml:space="preserve"> </w:instrText>
      </w:r>
      <w:r w:rsidRPr="00A43AB2" w:rsidR="00A43AB2">
        <w:rPr>
          <w:rFonts w:ascii="Arial" w:eastAsia="Times New Roman" w:hAnsi="Arial" w:cs="Arial"/>
          <w:sz w:val="24"/>
          <w:szCs w:val="21"/>
        </w:rPr>
        <w:instrText xml:space="preserve">" "" </w:instrText>
      </w:r>
      <w:r w:rsidRPr="00A43AB2" w:rsidR="00A43AB2">
        <w:rPr>
          <w:rFonts w:ascii="Arial" w:eastAsia="Times New Roman" w:hAnsi="Arial" w:cs="Arial"/>
          <w:sz w:val="24"/>
          <w:szCs w:val="21"/>
        </w:rPr>
        <w:fldChar w:fldCharType="separate"/>
      </w:r>
      <w:r w:rsidRPr="00A43AB2" w:rsidR="00A43AB2">
        <w:rPr>
          <w:rFonts w:ascii="Arial" w:eastAsia="Times New Roman" w:hAnsi="Arial" w:cs="Arial"/>
          <w:sz w:val="24"/>
          <w:szCs w:val="21"/>
        </w:rPr>
        <w:fldChar w:fldCharType="end"/>
      </w:r>
      <w:r w:rsidRPr="00A43AB2" w:rsidR="00A43AB2">
        <w:rPr>
          <w:rFonts w:ascii="Arial" w:eastAsia="Times New Roman" w:hAnsi="Arial" w:cs="Arial"/>
          <w:sz w:val="24"/>
          <w:szCs w:val="21"/>
        </w:rPr>
        <w:fldChar w:fldCharType="begin"/>
      </w:r>
      <w:r w:rsidRPr="00A43AB2" w:rsidR="00A43AB2">
        <w:rPr>
          <w:rFonts w:ascii="Arial" w:eastAsia="Times New Roman" w:hAnsi="Arial" w:cs="Arial"/>
          <w:sz w:val="24"/>
          <w:szCs w:val="21"/>
        </w:rPr>
        <w:instrText xml:space="preserve"> IF </w:instrText>
      </w:r>
      <w:r w:rsidRPr="00A43AB2" w:rsidR="00A43AB2">
        <w:rPr>
          <w:rFonts w:ascii="Arial" w:eastAsia="Times New Roman" w:hAnsi="Arial" w:cs="Arial"/>
          <w:sz w:val="24"/>
          <w:szCs w:val="21"/>
        </w:rPr>
        <w:instrText>1.00</w:instrText>
      </w:r>
      <w:r w:rsidRPr="00A43AB2" w:rsidR="00A43AB2">
        <w:rPr>
          <w:rFonts w:ascii="Arial" w:eastAsia="Times New Roman" w:hAnsi="Arial" w:cs="Arial"/>
          <w:sz w:val="24"/>
          <w:szCs w:val="21"/>
        </w:rPr>
        <w:instrText xml:space="preserve"> &gt; 0 "</w:instrText>
      </w:r>
      <w:r w:rsidR="00154A54">
        <w:rPr>
          <w:rFonts w:ascii="Arial" w:eastAsia="Times New Roman" w:hAnsi="Arial" w:cs="Arial"/>
          <w:sz w:val="24"/>
          <w:szCs w:val="21"/>
        </w:rPr>
        <w:instrText>1.00</w:instrText>
      </w:r>
      <w:r w:rsidR="00154A54">
        <w:rPr>
          <w:rFonts w:ascii="Arial" w:eastAsia="Times New Roman" w:hAnsi="Arial" w:cs="Arial"/>
          <w:sz w:val="24"/>
          <w:szCs w:val="21"/>
        </w:rPr>
        <w:instrText xml:space="preserve"> </w:instrText>
      </w:r>
      <w:r w:rsidRPr="00A43AB2" w:rsidR="00A43AB2">
        <w:rPr>
          <w:rFonts w:ascii="Arial" w:eastAsia="Times New Roman" w:hAnsi="Arial" w:cs="Arial"/>
          <w:i/>
          <w:iCs/>
          <w:sz w:val="24"/>
          <w:szCs w:val="21"/>
        </w:rPr>
        <w:instrText>AMA PRA Category 1 Credit(s)</w:instrText>
      </w:r>
      <w:r w:rsidRPr="00A43AB2" w:rsidR="00A43AB2">
        <w:rPr>
          <w:rFonts w:ascii="Arial" w:eastAsia="Times New Roman" w:hAnsi="Arial" w:cs="Arial"/>
          <w:iCs/>
          <w:sz w:val="24"/>
          <w:szCs w:val="21"/>
        </w:rPr>
        <w:instrText>™</w:instrText>
      </w:r>
      <w:r w:rsidR="00154A54">
        <w:rPr>
          <w:rFonts w:ascii="Arial" w:eastAsia="Times New Roman" w:hAnsi="Arial" w:cs="Arial"/>
          <w:iCs/>
          <w:sz w:val="24"/>
          <w:szCs w:val="21"/>
        </w:rPr>
        <w:instrText xml:space="preserve">; </w:instrText>
      </w:r>
      <w:r w:rsidRPr="00A43AB2" w:rsidR="00A43AB2">
        <w:rPr>
          <w:rFonts w:ascii="Arial" w:eastAsia="Times New Roman" w:hAnsi="Arial" w:cs="Arial"/>
          <w:sz w:val="24"/>
          <w:szCs w:val="21"/>
        </w:rPr>
        <w:instrText xml:space="preserve">" "" </w:instrText>
      </w:r>
      <w:r w:rsidRPr="00A43AB2" w:rsidR="00A43AB2">
        <w:rPr>
          <w:rFonts w:ascii="Arial" w:eastAsia="Times New Roman" w:hAnsi="Arial" w:cs="Arial"/>
          <w:sz w:val="24"/>
          <w:szCs w:val="21"/>
        </w:rPr>
        <w:fldChar w:fldCharType="separate"/>
      </w:r>
      <w:r w:rsidR="00154A54">
        <w:rPr>
          <w:rFonts w:ascii="Arial" w:eastAsia="Times New Roman" w:hAnsi="Arial" w:cs="Arial"/>
          <w:sz w:val="24"/>
          <w:szCs w:val="21"/>
        </w:rPr>
        <w:t>1.00</w:t>
      </w:r>
      <w:r w:rsidR="00154A54">
        <w:rPr>
          <w:rFonts w:ascii="Arial" w:eastAsia="Times New Roman" w:hAnsi="Arial" w:cs="Arial"/>
          <w:sz w:val="24"/>
          <w:szCs w:val="21"/>
        </w:rPr>
        <w:t xml:space="preserve"> </w:t>
      </w:r>
      <w:r w:rsidRPr="00A43AB2" w:rsidR="00A43AB2">
        <w:rPr>
          <w:rFonts w:ascii="Arial" w:eastAsia="Times New Roman" w:hAnsi="Arial" w:cs="Arial"/>
          <w:i/>
          <w:iCs/>
          <w:sz w:val="24"/>
          <w:szCs w:val="21"/>
        </w:rPr>
        <w:t>AMA PRA Category 1 Credit(s)</w:t>
      </w:r>
      <w:r w:rsidRPr="00A43AB2" w:rsidR="00A43AB2">
        <w:rPr>
          <w:rFonts w:ascii="Arial" w:eastAsia="Times New Roman" w:hAnsi="Arial" w:cs="Arial"/>
          <w:iCs/>
          <w:sz w:val="24"/>
          <w:szCs w:val="21"/>
        </w:rPr>
        <w:t>™</w:t>
      </w:r>
      <w:r w:rsidR="00154A54">
        <w:rPr>
          <w:rFonts w:ascii="Arial" w:eastAsia="Times New Roman" w:hAnsi="Arial" w:cs="Arial"/>
          <w:iCs/>
          <w:sz w:val="24"/>
          <w:szCs w:val="21"/>
        </w:rPr>
        <w:t xml:space="preserve">; </w:t>
      </w:r>
      <w:r w:rsidRPr="00A43AB2" w:rsidR="00A43AB2">
        <w:rPr>
          <w:rFonts w:ascii="Arial" w:eastAsia="Times New Roman" w:hAnsi="Arial" w:cs="Arial"/>
          <w:sz w:val="24"/>
          <w:szCs w:val="21"/>
        </w:rPr>
        <w:fldChar w:fldCharType="end"/>
      </w:r>
      <w:r w:rsidR="00B37411">
        <w:rPr>
          <w:rFonts w:ascii="Arial" w:eastAsia="Times New Roman" w:hAnsi="Arial" w:cs="Arial"/>
          <w:sz w:val="24"/>
          <w:szCs w:val="21"/>
        </w:rPr>
        <w:fldChar w:fldCharType="begin"/>
      </w:r>
      <w:r w:rsidR="00B37411">
        <w:rPr>
          <w:rFonts w:ascii="Arial" w:eastAsia="Times New Roman" w:hAnsi="Arial" w:cs="Arial"/>
          <w:sz w:val="24"/>
          <w:szCs w:val="21"/>
        </w:rPr>
        <w:instrText xml:space="preserve"> IF </w:instrText>
      </w:r>
      <w:r w:rsidR="00B37411">
        <w:rPr>
          <w:rFonts w:ascii="Arial" w:eastAsia="Times New Roman" w:hAnsi="Arial" w:cs="Arial"/>
          <w:sz w:val="24"/>
          <w:szCs w:val="21"/>
        </w:rPr>
        <w:instrText>0.00</w:instrText>
      </w:r>
      <w:r w:rsidR="00B37411">
        <w:rPr>
          <w:rFonts w:ascii="Arial" w:eastAsia="Times New Roman" w:hAnsi="Arial" w:cs="Arial"/>
          <w:sz w:val="24"/>
          <w:szCs w:val="21"/>
        </w:rPr>
        <w:instrText xml:space="preserve"> &gt; 0 "</w:instrText>
      </w:r>
      <w:r w:rsidR="00B37411">
        <w:rPr>
          <w:rFonts w:ascii="Arial" w:eastAsia="Times New Roman" w:hAnsi="Arial" w:cs="Arial"/>
          <w:sz w:val="24"/>
          <w:szCs w:val="21"/>
        </w:rPr>
        <w:fldChar w:fldCharType="begin"/>
      </w:r>
      <w:r w:rsidR="00B37411">
        <w:rPr>
          <w:rFonts w:ascii="Arial" w:eastAsia="Times New Roman" w:hAnsi="Arial" w:cs="Arial"/>
          <w:sz w:val="24"/>
          <w:szCs w:val="21"/>
        </w:rPr>
        <w:instrText xml:space="preserve"> MERGEFIELD ACPEHoursMax \# 0.00# </w:instrText>
      </w:r>
      <w:r w:rsidR="00B37411">
        <w:rPr>
          <w:rFonts w:ascii="Arial" w:eastAsia="Times New Roman" w:hAnsi="Arial" w:cs="Arial"/>
          <w:sz w:val="24"/>
          <w:szCs w:val="21"/>
        </w:rPr>
        <w:fldChar w:fldCharType="separate"/>
      </w:r>
      <w:r w:rsidR="00B37411">
        <w:rPr>
          <w:rFonts w:ascii="Arial" w:eastAsia="Times New Roman" w:hAnsi="Arial" w:cs="Arial"/>
          <w:sz w:val="24"/>
          <w:szCs w:val="21"/>
        </w:rPr>
        <w:fldChar w:fldCharType="end"/>
      </w:r>
      <w:r w:rsidR="00B37411">
        <w:rPr>
          <w:rFonts w:ascii="Arial" w:eastAsia="Times New Roman" w:hAnsi="Arial" w:cs="Arial"/>
          <w:sz w:val="24"/>
          <w:szCs w:val="21"/>
        </w:rPr>
        <w:instrText xml:space="preserve"> ACPE Credit(s); " "" </w:instrText>
      </w:r>
      <w:r w:rsidR="00B37411">
        <w:rPr>
          <w:rFonts w:ascii="Arial" w:eastAsia="Times New Roman" w:hAnsi="Arial" w:cs="Arial"/>
          <w:sz w:val="24"/>
          <w:szCs w:val="21"/>
        </w:rPr>
        <w:fldChar w:fldCharType="separate"/>
      </w:r>
      <w:r w:rsidR="00B37411">
        <w:rPr>
          <w:rFonts w:ascii="Arial" w:eastAsia="Times New Roman" w:hAnsi="Arial" w:cs="Arial"/>
          <w:sz w:val="24"/>
          <w:szCs w:val="21"/>
        </w:rPr>
        <w:fldChar w:fldCharType="end"/>
      </w:r>
      <w:r w:rsidRPr="00A43AB2" w:rsidR="00A43AB2">
        <w:rPr>
          <w:rFonts w:ascii="Arial" w:eastAsia="Times New Roman" w:hAnsi="Arial" w:cs="Arial"/>
          <w:sz w:val="24"/>
          <w:szCs w:val="21"/>
        </w:rPr>
        <w:fldChar w:fldCharType="begin"/>
      </w:r>
      <w:r w:rsidRPr="00A43AB2" w:rsidR="00A43AB2">
        <w:rPr>
          <w:rFonts w:ascii="Arial" w:eastAsia="Times New Roman" w:hAnsi="Arial" w:cs="Arial"/>
          <w:sz w:val="24"/>
          <w:szCs w:val="21"/>
        </w:rPr>
        <w:instrText xml:space="preserve"> IF </w:instrText>
      </w:r>
      <w:r w:rsidRPr="00A43AB2" w:rsidR="00A43AB2">
        <w:rPr>
          <w:rFonts w:ascii="Arial" w:eastAsia="Times New Roman" w:hAnsi="Arial" w:cs="Arial"/>
          <w:sz w:val="24"/>
          <w:szCs w:val="21"/>
        </w:rPr>
        <w:instrText>1.00</w:instrText>
      </w:r>
      <w:r w:rsidRPr="00A43AB2" w:rsidR="00A43AB2">
        <w:rPr>
          <w:rFonts w:ascii="Arial" w:eastAsia="Times New Roman" w:hAnsi="Arial" w:cs="Arial"/>
          <w:sz w:val="24"/>
          <w:szCs w:val="21"/>
        </w:rPr>
        <w:instrText xml:space="preserve"> &gt; 0 "</w:instrText>
      </w:r>
      <w:r w:rsidR="00154A54">
        <w:rPr>
          <w:rFonts w:ascii="Arial" w:eastAsia="Times New Roman" w:hAnsi="Arial" w:cs="Arial"/>
          <w:sz w:val="24"/>
          <w:szCs w:val="21"/>
        </w:rPr>
        <w:instrText>1.00</w:instrText>
      </w:r>
      <w:r w:rsidR="00154A54">
        <w:rPr>
          <w:rFonts w:ascii="Arial" w:eastAsia="Times New Roman" w:hAnsi="Arial" w:cs="Arial"/>
          <w:sz w:val="24"/>
          <w:szCs w:val="21"/>
        </w:rPr>
        <w:instrText xml:space="preserve"> </w:instrText>
      </w:r>
      <w:r w:rsidRPr="00A43AB2" w:rsidR="00A43AB2">
        <w:rPr>
          <w:rFonts w:ascii="Arial" w:eastAsia="Times New Roman" w:hAnsi="Arial" w:cs="Arial"/>
          <w:sz w:val="24"/>
          <w:szCs w:val="21"/>
        </w:rPr>
        <w:instrText>ANCC Contact Hour(s)</w:instrText>
      </w:r>
      <w:r w:rsidR="00154A54">
        <w:rPr>
          <w:rFonts w:ascii="Arial" w:eastAsia="Times New Roman" w:hAnsi="Arial" w:cs="Arial"/>
          <w:sz w:val="24"/>
          <w:szCs w:val="21"/>
        </w:rPr>
        <w:instrText xml:space="preserve">; </w:instrText>
      </w:r>
      <w:r w:rsidRPr="00A43AB2" w:rsidR="00A43AB2">
        <w:rPr>
          <w:rFonts w:ascii="Arial" w:eastAsia="Times New Roman" w:hAnsi="Arial" w:cs="Arial"/>
          <w:sz w:val="24"/>
          <w:szCs w:val="21"/>
        </w:rPr>
        <w:instrText xml:space="preserve">" "" </w:instrText>
      </w:r>
      <w:r w:rsidRPr="00A43AB2" w:rsidR="00A43AB2">
        <w:rPr>
          <w:rFonts w:ascii="Arial" w:eastAsia="Times New Roman" w:hAnsi="Arial" w:cs="Arial"/>
          <w:sz w:val="24"/>
          <w:szCs w:val="21"/>
        </w:rPr>
        <w:fldChar w:fldCharType="separate"/>
      </w:r>
      <w:r w:rsidR="00154A54">
        <w:rPr>
          <w:rFonts w:ascii="Arial" w:eastAsia="Times New Roman" w:hAnsi="Arial" w:cs="Arial"/>
          <w:sz w:val="24"/>
          <w:szCs w:val="21"/>
        </w:rPr>
        <w:t>1.00</w:t>
      </w:r>
      <w:r w:rsidR="00154A54">
        <w:rPr>
          <w:rFonts w:ascii="Arial" w:eastAsia="Times New Roman" w:hAnsi="Arial" w:cs="Arial"/>
          <w:sz w:val="24"/>
          <w:szCs w:val="21"/>
        </w:rPr>
        <w:t xml:space="preserve"> </w:t>
      </w:r>
      <w:r w:rsidRPr="00A43AB2" w:rsidR="00A43AB2">
        <w:rPr>
          <w:rFonts w:ascii="Arial" w:eastAsia="Times New Roman" w:hAnsi="Arial" w:cs="Arial"/>
          <w:sz w:val="24"/>
          <w:szCs w:val="21"/>
        </w:rPr>
        <w:t>ANCC Contact Hour(s)</w:t>
      </w:r>
      <w:r w:rsidR="00154A54">
        <w:rPr>
          <w:rFonts w:ascii="Arial" w:eastAsia="Times New Roman" w:hAnsi="Arial" w:cs="Arial"/>
          <w:sz w:val="24"/>
          <w:szCs w:val="21"/>
        </w:rPr>
        <w:t xml:space="preserve">; </w:t>
      </w:r>
      <w:r w:rsidRPr="00A43AB2" w:rsidR="00A43AB2">
        <w:rPr>
          <w:rFonts w:ascii="Arial" w:eastAsia="Times New Roman" w:hAnsi="Arial" w:cs="Arial"/>
          <w:sz w:val="24"/>
          <w:szCs w:val="21"/>
        </w:rPr>
        <w:fldChar w:fldCharType="end"/>
      </w:r>
      <w:r w:rsidRPr="00A43AB2" w:rsidR="00A43AB2">
        <w:rPr>
          <w:rFonts w:ascii="Arial" w:eastAsia="Times New Roman" w:hAnsi="Arial" w:cs="Arial"/>
          <w:sz w:val="24"/>
          <w:szCs w:val="21"/>
        </w:rPr>
        <w:fldChar w:fldCharType="begin"/>
      </w:r>
      <w:r w:rsidRPr="00A43AB2" w:rsidR="00A43AB2">
        <w:rPr>
          <w:rFonts w:ascii="Arial" w:eastAsia="Times New Roman" w:hAnsi="Arial" w:cs="Arial"/>
          <w:sz w:val="24"/>
          <w:szCs w:val="21"/>
        </w:rPr>
        <w:instrText xml:space="preserve"> IF </w:instrText>
      </w:r>
      <w:r w:rsidRPr="00A43AB2" w:rsidR="00A43AB2">
        <w:rPr>
          <w:rFonts w:ascii="Arial" w:eastAsia="Times New Roman" w:hAnsi="Arial" w:cs="Arial"/>
          <w:sz w:val="24"/>
          <w:szCs w:val="21"/>
        </w:rPr>
        <w:instrText>0.00</w:instrText>
      </w:r>
      <w:r w:rsidRPr="00A43AB2" w:rsidR="00A43AB2">
        <w:rPr>
          <w:rFonts w:ascii="Arial" w:eastAsia="Times New Roman" w:hAnsi="Arial" w:cs="Arial"/>
          <w:sz w:val="24"/>
          <w:szCs w:val="21"/>
        </w:rPr>
        <w:instrText xml:space="preserve"> &gt; 0 "</w:instrText>
      </w:r>
      <w:r w:rsidR="00154A54">
        <w:rPr>
          <w:rFonts w:ascii="Arial" w:eastAsia="Times New Roman" w:hAnsi="Arial" w:cs="Arial"/>
          <w:sz w:val="24"/>
          <w:szCs w:val="21"/>
        </w:rPr>
        <w:fldChar w:fldCharType="begin"/>
      </w:r>
      <w:r w:rsidR="00154A54">
        <w:rPr>
          <w:rFonts w:ascii="Arial" w:eastAsia="Times New Roman" w:hAnsi="Arial" w:cs="Arial"/>
          <w:sz w:val="24"/>
          <w:szCs w:val="21"/>
        </w:rPr>
        <w:instrText xml:space="preserve"> MERGEFIELD ASWBHoursMax \# 0.00# </w:instrText>
      </w:r>
      <w:r w:rsidR="00154A54">
        <w:rPr>
          <w:rFonts w:ascii="Arial" w:eastAsia="Times New Roman" w:hAnsi="Arial" w:cs="Arial"/>
          <w:sz w:val="24"/>
          <w:szCs w:val="21"/>
        </w:rPr>
        <w:fldChar w:fldCharType="separate"/>
      </w:r>
      <w:r w:rsidR="00154A54">
        <w:rPr>
          <w:rFonts w:ascii="Arial" w:eastAsia="Times New Roman" w:hAnsi="Arial" w:cs="Arial"/>
          <w:sz w:val="24"/>
          <w:szCs w:val="21"/>
        </w:rPr>
        <w:fldChar w:fldCharType="end"/>
      </w:r>
      <w:r w:rsidR="00154A54">
        <w:rPr>
          <w:rFonts w:ascii="Arial" w:eastAsia="Times New Roman" w:hAnsi="Arial" w:cs="Arial"/>
          <w:sz w:val="24"/>
          <w:szCs w:val="21"/>
        </w:rPr>
        <w:instrText xml:space="preserve"> </w:instrText>
      </w:r>
      <w:r w:rsidRPr="00A43AB2" w:rsidR="00A43AB2">
        <w:rPr>
          <w:rFonts w:ascii="Arial" w:eastAsia="Times New Roman" w:hAnsi="Arial" w:cs="Arial"/>
          <w:sz w:val="24"/>
          <w:szCs w:val="21"/>
        </w:rPr>
        <w:instrText>Social Work Continuing Education Credit(s)</w:instrText>
      </w:r>
      <w:r w:rsidR="00154A54">
        <w:rPr>
          <w:rFonts w:ascii="Arial" w:eastAsia="Times New Roman" w:hAnsi="Arial" w:cs="Arial"/>
          <w:sz w:val="24"/>
          <w:szCs w:val="21"/>
        </w:rPr>
        <w:instrText xml:space="preserve">; </w:instrText>
      </w:r>
      <w:r w:rsidRPr="00A43AB2" w:rsidR="00A43AB2">
        <w:rPr>
          <w:rFonts w:ascii="Arial" w:eastAsia="Times New Roman" w:hAnsi="Arial" w:cs="Arial"/>
          <w:sz w:val="24"/>
          <w:szCs w:val="21"/>
        </w:rPr>
        <w:instrText xml:space="preserve">" "" </w:instrText>
      </w:r>
      <w:r w:rsidRPr="00A43AB2" w:rsidR="00A43AB2">
        <w:rPr>
          <w:rFonts w:ascii="Arial" w:eastAsia="Times New Roman" w:hAnsi="Arial" w:cs="Arial"/>
          <w:sz w:val="24"/>
          <w:szCs w:val="21"/>
        </w:rPr>
        <w:fldChar w:fldCharType="separate"/>
      </w:r>
      <w:r w:rsidRPr="00A43AB2" w:rsidR="00A43AB2">
        <w:rPr>
          <w:rFonts w:ascii="Arial" w:eastAsia="Times New Roman" w:hAnsi="Arial" w:cs="Arial"/>
          <w:sz w:val="24"/>
          <w:szCs w:val="21"/>
        </w:rPr>
        <w:fldChar w:fldCharType="end"/>
      </w:r>
      <w:r w:rsidRPr="00A43AB2" w:rsidR="00A43AB2">
        <w:rPr>
          <w:rFonts w:ascii="Arial" w:eastAsia="Times New Roman" w:hAnsi="Arial" w:cs="Arial"/>
          <w:sz w:val="24"/>
          <w:szCs w:val="21"/>
        </w:rPr>
        <w:fldChar w:fldCharType="begin"/>
      </w:r>
      <w:r w:rsidRPr="00A43AB2" w:rsidR="00A43AB2">
        <w:rPr>
          <w:rFonts w:ascii="Arial" w:eastAsia="Times New Roman" w:hAnsi="Arial" w:cs="Arial"/>
          <w:sz w:val="24"/>
          <w:szCs w:val="21"/>
        </w:rPr>
        <w:instrText xml:space="preserve"> IF </w:instrText>
      </w:r>
      <w:r w:rsidRPr="00A43AB2" w:rsidR="00A43AB2">
        <w:rPr>
          <w:rFonts w:ascii="Arial" w:eastAsia="Times New Roman" w:hAnsi="Arial" w:cs="Arial"/>
          <w:sz w:val="24"/>
          <w:szCs w:val="21"/>
        </w:rPr>
        <w:fldChar w:fldCharType="begin"/>
      </w:r>
      <w:r w:rsidRPr="00A43AB2" w:rsidR="00A43AB2">
        <w:rPr>
          <w:rFonts w:ascii="Arial" w:eastAsia="Times New Roman" w:hAnsi="Arial" w:cs="Arial"/>
          <w:sz w:val="24"/>
          <w:szCs w:val="21"/>
        </w:rPr>
        <w:instrText xml:space="preserve"> = </w:instrText>
      </w:r>
      <w:r w:rsidRPr="00A43AB2" w:rsidR="00A43AB2">
        <w:rPr>
          <w:rFonts w:ascii="Arial" w:eastAsia="Times New Roman" w:hAnsi="Arial" w:cs="Arial"/>
          <w:sz w:val="24"/>
          <w:szCs w:val="21"/>
        </w:rPr>
        <w:instrText>1.00</w:instrText>
      </w:r>
      <w:r w:rsidRPr="00A43AB2" w:rsidR="00A43AB2">
        <w:rPr>
          <w:rFonts w:ascii="Arial" w:eastAsia="Times New Roman" w:hAnsi="Arial" w:cs="Arial"/>
          <w:sz w:val="24"/>
          <w:szCs w:val="21"/>
        </w:rPr>
        <w:instrText xml:space="preserve"> + </w:instrText>
      </w:r>
      <w:r w:rsidRPr="00A43AB2" w:rsidR="00A43AB2">
        <w:rPr>
          <w:rFonts w:ascii="Arial" w:eastAsia="Times New Roman" w:hAnsi="Arial" w:cs="Arial"/>
          <w:sz w:val="24"/>
          <w:szCs w:val="21"/>
        </w:rPr>
        <w:instrText>0.00</w:instrText>
      </w:r>
      <w:r w:rsidRPr="00A43AB2" w:rsidR="00A43AB2">
        <w:rPr>
          <w:rFonts w:ascii="Arial" w:eastAsia="Times New Roman" w:hAnsi="Arial" w:cs="Arial"/>
          <w:sz w:val="24"/>
          <w:szCs w:val="21"/>
        </w:rPr>
        <w:instrText xml:space="preserve"> </w:instrText>
      </w:r>
      <w:r w:rsidRPr="00A43AB2" w:rsidR="00A43AB2">
        <w:rPr>
          <w:rFonts w:ascii="Arial" w:eastAsia="Times New Roman" w:hAnsi="Arial" w:cs="Arial"/>
          <w:sz w:val="24"/>
          <w:szCs w:val="21"/>
        </w:rPr>
        <w:fldChar w:fldCharType="separate"/>
      </w:r>
      <w:r w:rsidRPr="00A43AB2" w:rsidR="00A43AB2">
        <w:rPr>
          <w:rFonts w:ascii="Arial" w:eastAsia="Times New Roman" w:hAnsi="Arial" w:cs="Arial"/>
          <w:sz w:val="24"/>
          <w:szCs w:val="21"/>
        </w:rPr>
        <w:instrText>1</w:instrText>
      </w:r>
      <w:r w:rsidRPr="00A43AB2" w:rsidR="00A43AB2">
        <w:rPr>
          <w:rFonts w:ascii="Arial" w:eastAsia="Times New Roman" w:hAnsi="Arial" w:cs="Arial"/>
          <w:sz w:val="24"/>
          <w:szCs w:val="21"/>
        </w:rPr>
        <w:fldChar w:fldCharType="end"/>
      </w:r>
      <w:r w:rsidRPr="00A43AB2" w:rsidR="00A43AB2">
        <w:rPr>
          <w:rFonts w:ascii="Arial" w:eastAsia="Times New Roman" w:hAnsi="Arial" w:cs="Arial"/>
          <w:sz w:val="24"/>
          <w:szCs w:val="21"/>
        </w:rPr>
        <w:instrText xml:space="preserve"> &gt; 0 "</w:instrText>
      </w:r>
      <w:r w:rsidR="00154A54">
        <w:rPr>
          <w:rFonts w:ascii="Arial" w:eastAsia="Times New Roman" w:hAnsi="Arial" w:cs="Arial"/>
          <w:sz w:val="24"/>
          <w:szCs w:val="21"/>
        </w:rPr>
        <w:fldChar w:fldCharType="begin"/>
      </w:r>
      <w:r w:rsidR="00154A54">
        <w:rPr>
          <w:rFonts w:ascii="Arial" w:eastAsia="Times New Roman" w:hAnsi="Arial" w:cs="Arial"/>
          <w:sz w:val="24"/>
          <w:szCs w:val="21"/>
        </w:rPr>
        <w:instrText xml:space="preserve"> = </w:instrText>
      </w:r>
      <w:r w:rsidR="00154A54">
        <w:rPr>
          <w:rFonts w:ascii="Arial" w:eastAsia="Times New Roman" w:hAnsi="Arial" w:cs="Arial"/>
          <w:sz w:val="24"/>
          <w:szCs w:val="21"/>
        </w:rPr>
        <w:instrText>1.00</w:instrText>
      </w:r>
      <w:r w:rsidR="00154A54">
        <w:rPr>
          <w:rFonts w:ascii="Arial" w:eastAsia="Times New Roman" w:hAnsi="Arial" w:cs="Arial"/>
          <w:sz w:val="24"/>
          <w:szCs w:val="21"/>
        </w:rPr>
        <w:instrText xml:space="preserve"> + </w:instrText>
      </w:r>
      <w:r w:rsidR="00154A54">
        <w:rPr>
          <w:rFonts w:ascii="Arial" w:eastAsia="Times New Roman" w:hAnsi="Arial" w:cs="Arial"/>
          <w:sz w:val="24"/>
          <w:szCs w:val="21"/>
        </w:rPr>
        <w:instrText>0.00</w:instrText>
      </w:r>
      <w:r w:rsidR="00154A54">
        <w:rPr>
          <w:rFonts w:ascii="Arial" w:eastAsia="Times New Roman" w:hAnsi="Arial" w:cs="Arial"/>
          <w:sz w:val="24"/>
          <w:szCs w:val="21"/>
        </w:rPr>
        <w:instrText xml:space="preserve"> \# 0.00# </w:instrText>
      </w:r>
      <w:r w:rsidR="00154A54">
        <w:rPr>
          <w:rFonts w:ascii="Arial" w:eastAsia="Times New Roman" w:hAnsi="Arial" w:cs="Arial"/>
          <w:sz w:val="24"/>
          <w:szCs w:val="21"/>
        </w:rPr>
        <w:fldChar w:fldCharType="separate"/>
      </w:r>
      <w:r w:rsidR="00154A54">
        <w:rPr>
          <w:rFonts w:ascii="Arial" w:eastAsia="Times New Roman" w:hAnsi="Arial" w:cs="Arial"/>
          <w:sz w:val="24"/>
          <w:szCs w:val="21"/>
        </w:rPr>
        <w:instrText>1.00</w:instrText>
      </w:r>
      <w:r w:rsidR="00154A54">
        <w:rPr>
          <w:rFonts w:ascii="Arial" w:eastAsia="Times New Roman" w:hAnsi="Arial" w:cs="Arial"/>
          <w:sz w:val="24"/>
          <w:szCs w:val="21"/>
        </w:rPr>
        <w:fldChar w:fldCharType="end"/>
      </w:r>
      <w:r w:rsidR="00154A54">
        <w:rPr>
          <w:rFonts w:ascii="Arial" w:eastAsia="Times New Roman" w:hAnsi="Arial" w:cs="Arial"/>
          <w:sz w:val="24"/>
          <w:szCs w:val="21"/>
        </w:rPr>
        <w:instrText xml:space="preserve"> </w:instrText>
      </w:r>
      <w:r w:rsidRPr="00A43AB2" w:rsidR="00A43AB2">
        <w:rPr>
          <w:rFonts w:ascii="Arial" w:eastAsia="Times New Roman" w:hAnsi="Arial" w:cs="Arial"/>
          <w:sz w:val="24"/>
          <w:szCs w:val="24"/>
        </w:rPr>
        <w:instrText>AAPA Category 1 CME Credit(s</w:instrText>
      </w:r>
      <w:r w:rsidR="00154A54">
        <w:rPr>
          <w:rFonts w:ascii="Arial" w:eastAsia="Times New Roman" w:hAnsi="Arial" w:cs="Arial"/>
          <w:sz w:val="24"/>
          <w:szCs w:val="24"/>
        </w:rPr>
        <w:instrText xml:space="preserve">); </w:instrText>
      </w:r>
      <w:r w:rsidRPr="00A43AB2" w:rsidR="00A43AB2">
        <w:rPr>
          <w:rFonts w:ascii="Arial" w:eastAsia="Times New Roman" w:hAnsi="Arial" w:cs="Arial"/>
          <w:sz w:val="24"/>
          <w:szCs w:val="21"/>
        </w:rPr>
        <w:instrText xml:space="preserve">" "" </w:instrText>
      </w:r>
      <w:r w:rsidRPr="00A43AB2" w:rsidR="00A43AB2">
        <w:rPr>
          <w:rFonts w:ascii="Arial" w:eastAsia="Times New Roman" w:hAnsi="Arial" w:cs="Arial"/>
          <w:sz w:val="24"/>
          <w:szCs w:val="21"/>
        </w:rPr>
        <w:fldChar w:fldCharType="separate"/>
      </w:r>
      <w:r w:rsidR="00154A54">
        <w:rPr>
          <w:rFonts w:ascii="Arial" w:eastAsia="Times New Roman" w:hAnsi="Arial" w:cs="Arial"/>
          <w:sz w:val="24"/>
          <w:szCs w:val="21"/>
        </w:rPr>
        <w:t>1.00</w:t>
      </w:r>
      <w:r w:rsidR="00154A54">
        <w:rPr>
          <w:rFonts w:ascii="Arial" w:eastAsia="Times New Roman" w:hAnsi="Arial" w:cs="Arial"/>
          <w:sz w:val="24"/>
          <w:szCs w:val="21"/>
        </w:rPr>
        <w:t xml:space="preserve"> </w:t>
      </w:r>
      <w:r w:rsidRPr="00A43AB2" w:rsidR="00A43AB2">
        <w:rPr>
          <w:rFonts w:ascii="Arial" w:eastAsia="Times New Roman" w:hAnsi="Arial" w:cs="Arial"/>
          <w:sz w:val="24"/>
          <w:szCs w:val="24"/>
        </w:rPr>
        <w:t>AAPA Category 1 CME Credit(s</w:t>
      </w:r>
      <w:r w:rsidR="00154A54">
        <w:rPr>
          <w:rFonts w:ascii="Arial" w:eastAsia="Times New Roman" w:hAnsi="Arial" w:cs="Arial"/>
          <w:sz w:val="24"/>
          <w:szCs w:val="24"/>
        </w:rPr>
        <w:t xml:space="preserve">); </w:t>
      </w:r>
      <w:r w:rsidRPr="00A43AB2" w:rsidR="00A43AB2">
        <w:rPr>
          <w:rFonts w:ascii="Arial" w:eastAsia="Times New Roman" w:hAnsi="Arial" w:cs="Arial"/>
          <w:sz w:val="24"/>
          <w:szCs w:val="21"/>
        </w:rPr>
        <w:fldChar w:fldCharType="end"/>
      </w:r>
      <w:r w:rsidRPr="00A43AB2" w:rsidR="00A43AB2">
        <w:rPr>
          <w:rFonts w:ascii="Arial" w:eastAsia="Times New Roman" w:hAnsi="Arial" w:cs="Arial"/>
          <w:sz w:val="24"/>
          <w:szCs w:val="21"/>
        </w:rPr>
        <w:fldChar w:fldCharType="begin"/>
      </w:r>
      <w:r w:rsidRPr="00A43AB2" w:rsidR="00A43AB2">
        <w:rPr>
          <w:rFonts w:ascii="Arial" w:eastAsia="Times New Roman" w:hAnsi="Arial" w:cs="Arial"/>
          <w:sz w:val="24"/>
          <w:szCs w:val="21"/>
        </w:rPr>
        <w:instrText xml:space="preserve"> IF </w:instrText>
      </w:r>
      <w:r w:rsidRPr="00A43AB2" w:rsidR="00A43AB2">
        <w:rPr>
          <w:rFonts w:ascii="Arial" w:eastAsia="Times New Roman" w:hAnsi="Arial" w:cs="Arial"/>
          <w:sz w:val="24"/>
          <w:szCs w:val="21"/>
        </w:rPr>
        <w:instrText>0.00</w:instrText>
      </w:r>
      <w:r w:rsidRPr="00A43AB2" w:rsidR="00A43AB2">
        <w:rPr>
          <w:rFonts w:ascii="Arial" w:eastAsia="Times New Roman" w:hAnsi="Arial" w:cs="Arial"/>
          <w:sz w:val="24"/>
          <w:szCs w:val="21"/>
        </w:rPr>
        <w:instrText xml:space="preserve"> &gt; 0 "</w:instrText>
      </w:r>
      <w:r w:rsidR="00154A54">
        <w:rPr>
          <w:rFonts w:ascii="Arial" w:eastAsia="Times New Roman" w:hAnsi="Arial" w:cs="Arial"/>
          <w:sz w:val="24"/>
          <w:szCs w:val="21"/>
        </w:rPr>
        <w:fldChar w:fldCharType="begin"/>
      </w:r>
      <w:r w:rsidR="00154A54">
        <w:rPr>
          <w:rFonts w:ascii="Arial" w:eastAsia="Times New Roman" w:hAnsi="Arial" w:cs="Arial"/>
          <w:sz w:val="24"/>
          <w:szCs w:val="21"/>
        </w:rPr>
        <w:instrText xml:space="preserve"> MERGEFIELD APAHoursMax \# 0.00# </w:instrText>
      </w:r>
      <w:r w:rsidR="00154A54">
        <w:rPr>
          <w:rFonts w:ascii="Arial" w:eastAsia="Times New Roman" w:hAnsi="Arial" w:cs="Arial"/>
          <w:sz w:val="24"/>
          <w:szCs w:val="21"/>
        </w:rPr>
        <w:fldChar w:fldCharType="separate"/>
      </w:r>
      <w:r w:rsidR="00154A54">
        <w:rPr>
          <w:rFonts w:ascii="Arial" w:eastAsia="Times New Roman" w:hAnsi="Arial" w:cs="Arial"/>
          <w:sz w:val="24"/>
          <w:szCs w:val="21"/>
        </w:rPr>
        <w:fldChar w:fldCharType="end"/>
      </w:r>
      <w:r w:rsidR="00154A54">
        <w:rPr>
          <w:rFonts w:ascii="Arial" w:eastAsia="Times New Roman" w:hAnsi="Arial" w:cs="Arial"/>
          <w:sz w:val="24"/>
          <w:szCs w:val="21"/>
        </w:rPr>
        <w:instrText xml:space="preserve"> </w:instrText>
      </w:r>
      <w:r w:rsidRPr="00A43AB2" w:rsidR="00A43AB2">
        <w:rPr>
          <w:rFonts w:ascii="Arial" w:eastAsia="Times New Roman" w:hAnsi="Arial" w:cs="Arial"/>
          <w:sz w:val="24"/>
          <w:szCs w:val="21"/>
        </w:rPr>
        <w:instrText>APA CE Credit(s)</w:instrText>
      </w:r>
      <w:r w:rsidR="00154A54">
        <w:rPr>
          <w:rFonts w:ascii="Arial" w:eastAsia="Times New Roman" w:hAnsi="Arial" w:cs="Arial"/>
          <w:sz w:val="24"/>
          <w:szCs w:val="21"/>
        </w:rPr>
        <w:instrText xml:space="preserve">; </w:instrText>
      </w:r>
      <w:r w:rsidRPr="00A43AB2" w:rsidR="00A43AB2">
        <w:rPr>
          <w:rFonts w:ascii="Arial" w:eastAsia="Times New Roman" w:hAnsi="Arial" w:cs="Arial"/>
          <w:sz w:val="24"/>
          <w:szCs w:val="21"/>
        </w:rPr>
        <w:instrText xml:space="preserve">" "" </w:instrText>
      </w:r>
      <w:r w:rsidRPr="00A43AB2" w:rsidR="00A43AB2">
        <w:rPr>
          <w:rFonts w:ascii="Arial" w:eastAsia="Times New Roman" w:hAnsi="Arial" w:cs="Arial"/>
          <w:sz w:val="24"/>
          <w:szCs w:val="21"/>
        </w:rPr>
        <w:fldChar w:fldCharType="separate"/>
      </w:r>
      <w:r w:rsidRPr="00A43AB2" w:rsidR="00A43AB2">
        <w:rPr>
          <w:rFonts w:ascii="Arial" w:eastAsia="Times New Roman" w:hAnsi="Arial" w:cs="Arial"/>
          <w:sz w:val="24"/>
          <w:szCs w:val="21"/>
        </w:rPr>
        <w:fldChar w:fldCharType="end"/>
      </w:r>
      <w:r w:rsidR="00820EAE">
        <w:rPr>
          <w:rFonts w:ascii="Arial" w:eastAsia="Times New Roman" w:hAnsi="Arial" w:cs="Arial"/>
          <w:sz w:val="24"/>
          <w:szCs w:val="21"/>
        </w:rPr>
        <w:fldChar w:fldCharType="begin"/>
      </w:r>
      <w:r w:rsidR="00820EAE">
        <w:rPr>
          <w:rFonts w:ascii="Arial" w:eastAsia="Times New Roman" w:hAnsi="Arial" w:cs="Arial"/>
          <w:sz w:val="24"/>
          <w:szCs w:val="21"/>
        </w:rPr>
        <w:instrText xml:space="preserve"> IF </w:instrText>
      </w:r>
      <w:r w:rsidR="00820EAE">
        <w:rPr>
          <w:rFonts w:ascii="Arial" w:eastAsia="Times New Roman" w:hAnsi="Arial" w:cs="Arial"/>
          <w:sz w:val="24"/>
          <w:szCs w:val="21"/>
        </w:rPr>
        <w:instrText>0.00</w:instrText>
      </w:r>
      <w:r w:rsidR="00820EAE">
        <w:rPr>
          <w:rFonts w:ascii="Arial" w:eastAsia="Times New Roman" w:hAnsi="Arial" w:cs="Arial"/>
          <w:sz w:val="24"/>
          <w:szCs w:val="21"/>
        </w:rPr>
        <w:instrText xml:space="preserve"> &gt; 0 "</w:instrText>
      </w:r>
      <w:r w:rsidR="00820EAE">
        <w:rPr>
          <w:rFonts w:ascii="Arial" w:eastAsia="Times New Roman" w:hAnsi="Arial" w:cs="Arial"/>
          <w:sz w:val="24"/>
          <w:szCs w:val="21"/>
        </w:rPr>
        <w:fldChar w:fldCharType="begin"/>
      </w:r>
      <w:r w:rsidR="00820EAE">
        <w:rPr>
          <w:rFonts w:ascii="Arial" w:eastAsia="Times New Roman" w:hAnsi="Arial" w:cs="Arial"/>
          <w:sz w:val="24"/>
          <w:szCs w:val="21"/>
        </w:rPr>
        <w:instrText xml:space="preserve"> MERGEFIELD CDRHoursMax \# 0.00# </w:instrText>
      </w:r>
      <w:r w:rsidR="00820EAE">
        <w:rPr>
          <w:rFonts w:ascii="Arial" w:eastAsia="Times New Roman" w:hAnsi="Arial" w:cs="Arial"/>
          <w:sz w:val="24"/>
          <w:szCs w:val="21"/>
        </w:rPr>
        <w:fldChar w:fldCharType="separate"/>
      </w:r>
      <w:r w:rsidR="00820EAE">
        <w:rPr>
          <w:rFonts w:ascii="Arial" w:eastAsia="Times New Roman" w:hAnsi="Arial" w:cs="Arial"/>
          <w:sz w:val="24"/>
          <w:szCs w:val="21"/>
        </w:rPr>
        <w:fldChar w:fldCharType="end"/>
      </w:r>
      <w:r w:rsidR="00820EAE">
        <w:rPr>
          <w:rFonts w:ascii="Arial" w:eastAsia="Times New Roman" w:hAnsi="Arial" w:cs="Arial"/>
          <w:sz w:val="24"/>
          <w:szCs w:val="21"/>
        </w:rPr>
        <w:instrText xml:space="preserve"> CDR Credit(s); " "" </w:instrText>
      </w:r>
      <w:r w:rsidR="00820EAE">
        <w:rPr>
          <w:rFonts w:ascii="Arial" w:eastAsia="Times New Roman" w:hAnsi="Arial" w:cs="Arial"/>
          <w:sz w:val="24"/>
          <w:szCs w:val="21"/>
        </w:rPr>
        <w:fldChar w:fldCharType="separate"/>
      </w:r>
      <w:r w:rsidR="00820EAE">
        <w:rPr>
          <w:rFonts w:ascii="Arial" w:eastAsia="Times New Roman" w:hAnsi="Arial" w:cs="Arial"/>
          <w:sz w:val="24"/>
          <w:szCs w:val="21"/>
        </w:rPr>
        <w:fldChar w:fldCharType="end"/>
      </w:r>
      <w:r w:rsidRPr="00A43AB2" w:rsidR="00A43AB2">
        <w:rPr>
          <w:rFonts w:ascii="Arial" w:eastAsia="Times New Roman" w:hAnsi="Arial" w:cs="Arial"/>
          <w:sz w:val="24"/>
          <w:szCs w:val="21"/>
        </w:rPr>
        <w:fldChar w:fldCharType="begin"/>
      </w:r>
      <w:r w:rsidRPr="00A43AB2" w:rsidR="00A43AB2">
        <w:rPr>
          <w:rFonts w:ascii="Arial" w:eastAsia="Times New Roman" w:hAnsi="Arial" w:cs="Arial"/>
          <w:sz w:val="24"/>
          <w:szCs w:val="21"/>
        </w:rPr>
        <w:instrText xml:space="preserve"> IF </w:instrText>
      </w:r>
      <w:r w:rsidRPr="00A43AB2" w:rsidR="00A43AB2">
        <w:rPr>
          <w:rFonts w:ascii="Arial" w:eastAsia="Times New Roman" w:hAnsi="Arial" w:cs="Arial"/>
          <w:sz w:val="24"/>
          <w:szCs w:val="21"/>
        </w:rPr>
        <w:instrText>0.00</w:instrText>
      </w:r>
      <w:r w:rsidRPr="00A43AB2" w:rsidR="00A43AB2">
        <w:rPr>
          <w:rFonts w:ascii="Arial" w:eastAsia="Times New Roman" w:hAnsi="Arial" w:cs="Arial"/>
          <w:sz w:val="24"/>
          <w:szCs w:val="21"/>
        </w:rPr>
        <w:instrText xml:space="preserve"> &gt; 0 "</w:instrText>
      </w:r>
      <w:r w:rsidR="00154A54">
        <w:rPr>
          <w:rFonts w:ascii="Arial" w:eastAsia="Times New Roman" w:hAnsi="Arial" w:cs="Arial"/>
          <w:sz w:val="24"/>
          <w:szCs w:val="21"/>
        </w:rPr>
        <w:fldChar w:fldCharType="begin"/>
      </w:r>
      <w:r w:rsidR="00154A54">
        <w:rPr>
          <w:rFonts w:ascii="Arial" w:eastAsia="Times New Roman" w:hAnsi="Arial" w:cs="Arial"/>
          <w:sz w:val="24"/>
          <w:szCs w:val="21"/>
        </w:rPr>
        <w:instrText xml:space="preserve"> MERGEFIELD ABIM2HoursMax \# 0.00# </w:instrText>
      </w:r>
      <w:r w:rsidR="00154A54">
        <w:rPr>
          <w:rFonts w:ascii="Arial" w:eastAsia="Times New Roman" w:hAnsi="Arial" w:cs="Arial"/>
          <w:sz w:val="24"/>
          <w:szCs w:val="21"/>
        </w:rPr>
        <w:fldChar w:fldCharType="separate"/>
      </w:r>
      <w:r w:rsidR="00154A54">
        <w:rPr>
          <w:rFonts w:ascii="Arial" w:eastAsia="Times New Roman" w:hAnsi="Arial" w:cs="Arial"/>
          <w:sz w:val="24"/>
          <w:szCs w:val="21"/>
        </w:rPr>
        <w:fldChar w:fldCharType="end"/>
      </w:r>
      <w:r w:rsidR="00154A54">
        <w:rPr>
          <w:rFonts w:ascii="Arial" w:eastAsia="Times New Roman" w:hAnsi="Arial" w:cs="Arial"/>
          <w:sz w:val="24"/>
          <w:szCs w:val="21"/>
        </w:rPr>
        <w:instrText xml:space="preserve"> </w:instrText>
      </w:r>
      <w:r w:rsidRPr="00A43AB2" w:rsidR="00A43AB2">
        <w:rPr>
          <w:rFonts w:ascii="Arial" w:eastAsia="Times New Roman" w:hAnsi="Arial" w:cs="Arial"/>
          <w:sz w:val="24"/>
          <w:szCs w:val="21"/>
        </w:rPr>
        <w:instrText>ABIM MOC Part 2 Point(s)</w:instrText>
      </w:r>
      <w:r w:rsidR="00154A54">
        <w:rPr>
          <w:rFonts w:ascii="Arial" w:eastAsia="Times New Roman" w:hAnsi="Arial" w:cs="Arial"/>
          <w:sz w:val="24"/>
          <w:szCs w:val="21"/>
        </w:rPr>
        <w:instrText xml:space="preserve">; </w:instrText>
      </w:r>
      <w:r w:rsidRPr="00A43AB2" w:rsidR="00A43AB2">
        <w:rPr>
          <w:rFonts w:ascii="Arial" w:eastAsia="Times New Roman" w:hAnsi="Arial" w:cs="Arial"/>
          <w:sz w:val="24"/>
          <w:szCs w:val="21"/>
        </w:rPr>
        <w:instrText xml:space="preserve">" "" </w:instrText>
      </w:r>
      <w:r w:rsidRPr="00A43AB2" w:rsidR="00A43AB2">
        <w:rPr>
          <w:rFonts w:ascii="Arial" w:eastAsia="Times New Roman" w:hAnsi="Arial" w:cs="Arial"/>
          <w:sz w:val="24"/>
          <w:szCs w:val="21"/>
        </w:rPr>
        <w:fldChar w:fldCharType="separate"/>
      </w:r>
      <w:r w:rsidRPr="00A43AB2" w:rsidR="00A43AB2">
        <w:rPr>
          <w:rFonts w:ascii="Arial" w:eastAsia="Times New Roman" w:hAnsi="Arial" w:cs="Arial"/>
          <w:sz w:val="24"/>
          <w:szCs w:val="21"/>
        </w:rPr>
        <w:fldChar w:fldCharType="end"/>
      </w:r>
      <w:r w:rsidRPr="00A43AB2" w:rsidR="00A43AB2">
        <w:rPr>
          <w:rFonts w:ascii="Arial" w:eastAsia="Times New Roman" w:hAnsi="Arial" w:cs="Arial"/>
          <w:sz w:val="24"/>
          <w:szCs w:val="21"/>
        </w:rPr>
        <w:fldChar w:fldCharType="begin"/>
      </w:r>
      <w:r w:rsidRPr="00A43AB2" w:rsidR="00A43AB2">
        <w:rPr>
          <w:rFonts w:ascii="Arial" w:eastAsia="Times New Roman" w:hAnsi="Arial" w:cs="Arial"/>
          <w:sz w:val="24"/>
          <w:szCs w:val="21"/>
        </w:rPr>
        <w:instrText xml:space="preserve"> IF </w:instrText>
      </w:r>
      <w:r w:rsidRPr="00A43AB2" w:rsidR="00A43AB2">
        <w:rPr>
          <w:rFonts w:ascii="Arial" w:eastAsia="Times New Roman" w:hAnsi="Arial" w:cs="Arial"/>
          <w:sz w:val="24"/>
          <w:szCs w:val="21"/>
        </w:rPr>
        <w:instrText>0.00</w:instrText>
      </w:r>
      <w:r w:rsidRPr="00A43AB2" w:rsidR="00A43AB2">
        <w:rPr>
          <w:rFonts w:ascii="Arial" w:eastAsia="Times New Roman" w:hAnsi="Arial" w:cs="Arial"/>
          <w:sz w:val="24"/>
          <w:szCs w:val="21"/>
        </w:rPr>
        <w:instrText xml:space="preserve"> &gt; 0 "</w:instrText>
      </w:r>
      <w:r w:rsidR="00154A54">
        <w:rPr>
          <w:rFonts w:ascii="Arial" w:eastAsia="Times New Roman" w:hAnsi="Arial" w:cs="Arial"/>
          <w:sz w:val="24"/>
          <w:szCs w:val="21"/>
        </w:rPr>
        <w:fldChar w:fldCharType="begin"/>
      </w:r>
      <w:r w:rsidR="00154A54">
        <w:rPr>
          <w:rFonts w:ascii="Arial" w:eastAsia="Times New Roman" w:hAnsi="Arial" w:cs="Arial"/>
          <w:sz w:val="24"/>
          <w:szCs w:val="21"/>
        </w:rPr>
        <w:instrText xml:space="preserve"> MERGEFIELD ABP2HoursMax \# 0.00# </w:instrText>
      </w:r>
      <w:r w:rsidR="00154A54">
        <w:rPr>
          <w:rFonts w:ascii="Arial" w:eastAsia="Times New Roman" w:hAnsi="Arial" w:cs="Arial"/>
          <w:sz w:val="24"/>
          <w:szCs w:val="21"/>
        </w:rPr>
        <w:fldChar w:fldCharType="separate"/>
      </w:r>
      <w:r w:rsidR="00154A54">
        <w:rPr>
          <w:rFonts w:ascii="Arial" w:eastAsia="Times New Roman" w:hAnsi="Arial" w:cs="Arial"/>
          <w:sz w:val="24"/>
          <w:szCs w:val="21"/>
        </w:rPr>
        <w:fldChar w:fldCharType="end"/>
      </w:r>
      <w:r w:rsidR="00154A54">
        <w:rPr>
          <w:rFonts w:ascii="Arial" w:eastAsia="Times New Roman" w:hAnsi="Arial" w:cs="Arial"/>
          <w:sz w:val="24"/>
          <w:szCs w:val="21"/>
        </w:rPr>
        <w:instrText xml:space="preserve"> </w:instrText>
      </w:r>
      <w:r w:rsidRPr="00A43AB2" w:rsidR="00A43AB2">
        <w:rPr>
          <w:rFonts w:ascii="Arial" w:eastAsia="Times New Roman" w:hAnsi="Arial" w:cs="Arial"/>
          <w:sz w:val="24"/>
          <w:szCs w:val="21"/>
        </w:rPr>
        <w:instrText>ABP MOC Part 2 Point(s)</w:instrText>
      </w:r>
      <w:r w:rsidR="00154A54">
        <w:rPr>
          <w:rFonts w:ascii="Arial" w:eastAsia="Times New Roman" w:hAnsi="Arial" w:cs="Arial"/>
          <w:sz w:val="24"/>
          <w:szCs w:val="21"/>
        </w:rPr>
        <w:instrText xml:space="preserve">; </w:instrText>
      </w:r>
      <w:r w:rsidRPr="00A43AB2" w:rsidR="00A43AB2">
        <w:rPr>
          <w:rFonts w:ascii="Arial" w:eastAsia="Times New Roman" w:hAnsi="Arial" w:cs="Arial"/>
          <w:sz w:val="24"/>
          <w:szCs w:val="21"/>
        </w:rPr>
        <w:instrText xml:space="preserve">" "" </w:instrText>
      </w:r>
      <w:r w:rsidRPr="00A43AB2" w:rsidR="00A43AB2">
        <w:rPr>
          <w:rFonts w:ascii="Arial" w:eastAsia="Times New Roman" w:hAnsi="Arial" w:cs="Arial"/>
          <w:sz w:val="24"/>
          <w:szCs w:val="21"/>
        </w:rPr>
        <w:fldChar w:fldCharType="separate"/>
      </w:r>
      <w:r w:rsidRPr="00A43AB2" w:rsidR="00A43AB2">
        <w:rPr>
          <w:rFonts w:ascii="Arial" w:eastAsia="Times New Roman" w:hAnsi="Arial" w:cs="Arial"/>
          <w:sz w:val="24"/>
          <w:szCs w:val="21"/>
        </w:rPr>
        <w:fldChar w:fldCharType="end"/>
      </w:r>
      <w:r w:rsidRPr="00A43AB2" w:rsidR="00A43AB2">
        <w:rPr>
          <w:rFonts w:ascii="Arial" w:eastAsia="Times New Roman" w:hAnsi="Arial" w:cs="Arial"/>
          <w:sz w:val="24"/>
          <w:szCs w:val="21"/>
        </w:rPr>
        <w:fldChar w:fldCharType="begin"/>
      </w:r>
      <w:r w:rsidRPr="00A43AB2" w:rsidR="00A43AB2">
        <w:rPr>
          <w:rFonts w:ascii="Arial" w:eastAsia="Times New Roman" w:hAnsi="Arial" w:cs="Arial"/>
          <w:sz w:val="24"/>
          <w:szCs w:val="21"/>
        </w:rPr>
        <w:instrText xml:space="preserve"> IF </w:instrText>
      </w:r>
      <w:r w:rsidRPr="00A43AB2" w:rsidR="00A43AB2">
        <w:rPr>
          <w:rFonts w:ascii="Arial" w:eastAsia="Times New Roman" w:hAnsi="Arial" w:cs="Arial"/>
          <w:sz w:val="24"/>
          <w:szCs w:val="21"/>
        </w:rPr>
        <w:instrText>0.00</w:instrText>
      </w:r>
      <w:r w:rsidRPr="00A43AB2" w:rsidR="00A43AB2">
        <w:rPr>
          <w:rFonts w:ascii="Arial" w:eastAsia="Times New Roman" w:hAnsi="Arial" w:cs="Arial"/>
          <w:sz w:val="24"/>
          <w:szCs w:val="21"/>
        </w:rPr>
        <w:instrText xml:space="preserve"> &gt; 0 "</w:instrText>
      </w:r>
      <w:r>
        <w:rPr>
          <w:rFonts w:ascii="Arial" w:eastAsia="Times New Roman" w:hAnsi="Arial" w:cs="Arial"/>
          <w:sz w:val="24"/>
          <w:szCs w:val="21"/>
        </w:rPr>
        <w:fldChar w:fldCharType="begin"/>
      </w:r>
      <w:r>
        <w:rPr>
          <w:rFonts w:ascii="Arial" w:eastAsia="Times New Roman" w:hAnsi="Arial" w:cs="Arial"/>
          <w:sz w:val="24"/>
          <w:szCs w:val="21"/>
        </w:rPr>
        <w:instrText xml:space="preserve"> MERGEFIELD ABA2HoursMax \# 0.00# </w:instrText>
      </w:r>
      <w:r>
        <w:rPr>
          <w:rFonts w:ascii="Arial" w:eastAsia="Times New Roman" w:hAnsi="Arial" w:cs="Arial"/>
          <w:sz w:val="24"/>
          <w:szCs w:val="21"/>
        </w:rPr>
        <w:fldChar w:fldCharType="separate"/>
      </w:r>
      <w:r>
        <w:rPr>
          <w:rFonts w:ascii="Arial" w:eastAsia="Times New Roman" w:hAnsi="Arial" w:cs="Arial"/>
          <w:sz w:val="24"/>
          <w:szCs w:val="21"/>
        </w:rPr>
        <w:fldChar w:fldCharType="end"/>
      </w:r>
      <w:r>
        <w:rPr>
          <w:rFonts w:ascii="Arial" w:eastAsia="Times New Roman" w:hAnsi="Arial" w:cs="Arial"/>
          <w:sz w:val="24"/>
          <w:szCs w:val="21"/>
        </w:rPr>
        <w:instrText xml:space="preserve"> </w:instrText>
      </w:r>
      <w:r w:rsidRPr="00A43AB2" w:rsidR="00A43AB2">
        <w:rPr>
          <w:rFonts w:ascii="Arial" w:eastAsia="Times New Roman" w:hAnsi="Arial" w:cs="Arial"/>
          <w:sz w:val="24"/>
          <w:szCs w:val="21"/>
        </w:rPr>
        <w:instrText>ABA MOC Part II Point(s)</w:instrText>
      </w:r>
      <w:r>
        <w:rPr>
          <w:rFonts w:ascii="Arial" w:eastAsia="Times New Roman" w:hAnsi="Arial" w:cs="Arial"/>
          <w:sz w:val="24"/>
          <w:szCs w:val="21"/>
        </w:rPr>
        <w:instrText xml:space="preserve">; </w:instrText>
      </w:r>
      <w:r w:rsidRPr="00A43AB2" w:rsidR="00A43AB2">
        <w:rPr>
          <w:rFonts w:ascii="Arial" w:eastAsia="Times New Roman" w:hAnsi="Arial" w:cs="Arial"/>
          <w:sz w:val="24"/>
          <w:szCs w:val="21"/>
        </w:rPr>
        <w:instrText xml:space="preserve">" "" </w:instrText>
      </w:r>
      <w:r w:rsidRPr="00A43AB2" w:rsidR="00A43AB2">
        <w:rPr>
          <w:rFonts w:ascii="Arial" w:eastAsia="Times New Roman" w:hAnsi="Arial" w:cs="Arial"/>
          <w:sz w:val="24"/>
          <w:szCs w:val="21"/>
        </w:rPr>
        <w:fldChar w:fldCharType="separate"/>
      </w:r>
      <w:r w:rsidRPr="00A43AB2" w:rsidR="00A43AB2">
        <w:rPr>
          <w:rFonts w:ascii="Arial" w:eastAsia="Times New Roman" w:hAnsi="Arial" w:cs="Arial"/>
          <w:sz w:val="24"/>
          <w:szCs w:val="21"/>
        </w:rPr>
        <w:fldChar w:fldCharType="end"/>
      </w:r>
      <w:r w:rsidRPr="009D238E" w:rsidR="00A43AB2">
        <w:rPr>
          <w:rFonts w:ascii="Arial" w:eastAsia="Times New Roman" w:hAnsi="Arial" w:cs="Arial"/>
          <w:sz w:val="24"/>
          <w:szCs w:val="21"/>
        </w:rPr>
        <w:fldChar w:fldCharType="begin"/>
      </w:r>
      <w:r w:rsidRPr="00A43AB2" w:rsidR="00A43AB2">
        <w:rPr>
          <w:rFonts w:ascii="Arial" w:eastAsia="Times New Roman" w:hAnsi="Arial" w:cs="Arial"/>
          <w:sz w:val="24"/>
          <w:szCs w:val="21"/>
        </w:rPr>
        <w:instrText xml:space="preserve"> IF </w:instrText>
      </w:r>
      <w:r w:rsidRPr="00A43AB2" w:rsidR="00A43AB2">
        <w:rPr>
          <w:rFonts w:ascii="Arial" w:eastAsia="Times New Roman" w:hAnsi="Arial" w:cs="Arial"/>
          <w:sz w:val="24"/>
          <w:szCs w:val="21"/>
        </w:rPr>
        <w:instrText>0.00</w:instrText>
      </w:r>
      <w:r w:rsidRPr="00A43AB2" w:rsidR="00A43AB2">
        <w:rPr>
          <w:rFonts w:ascii="Arial" w:eastAsia="Times New Roman" w:hAnsi="Arial" w:cs="Arial"/>
          <w:sz w:val="24"/>
          <w:szCs w:val="21"/>
        </w:rPr>
        <w:instrText xml:space="preserve"> &gt; 0 "</w:instrText>
      </w:r>
      <w:r>
        <w:rPr>
          <w:rFonts w:ascii="Arial" w:eastAsia="Times New Roman" w:hAnsi="Arial" w:cs="Arial"/>
          <w:sz w:val="24"/>
          <w:szCs w:val="21"/>
        </w:rPr>
        <w:fldChar w:fldCharType="begin"/>
      </w:r>
      <w:r>
        <w:rPr>
          <w:rFonts w:ascii="Arial" w:eastAsia="Times New Roman" w:hAnsi="Arial" w:cs="Arial"/>
          <w:sz w:val="24"/>
          <w:szCs w:val="21"/>
        </w:rPr>
        <w:instrText xml:space="preserve"> MERGEFIELD ABPathHoursMax \# 0.00# </w:instrText>
      </w:r>
      <w:r>
        <w:rPr>
          <w:rFonts w:ascii="Arial" w:eastAsia="Times New Roman" w:hAnsi="Arial" w:cs="Arial"/>
          <w:sz w:val="24"/>
          <w:szCs w:val="21"/>
        </w:rPr>
        <w:fldChar w:fldCharType="separate"/>
      </w:r>
      <w:r>
        <w:rPr>
          <w:rFonts w:ascii="Arial" w:eastAsia="Times New Roman" w:hAnsi="Arial" w:cs="Arial"/>
          <w:sz w:val="24"/>
          <w:szCs w:val="21"/>
        </w:rPr>
        <w:fldChar w:fldCharType="end"/>
      </w:r>
      <w:r>
        <w:rPr>
          <w:rFonts w:ascii="Arial" w:eastAsia="Times New Roman" w:hAnsi="Arial" w:cs="Arial"/>
          <w:sz w:val="24"/>
          <w:szCs w:val="21"/>
        </w:rPr>
        <w:instrText xml:space="preserve"> </w:instrText>
      </w:r>
      <w:r w:rsidRPr="009D238E" w:rsidR="00A43AB2">
        <w:rPr>
          <w:rFonts w:ascii="Arial" w:eastAsia="Times New Roman" w:hAnsi="Arial" w:cs="Arial"/>
          <w:sz w:val="24"/>
          <w:szCs w:val="21"/>
        </w:rPr>
        <w:instrText>MOC ABPath Point(s)</w:instrText>
      </w:r>
      <w:r>
        <w:rPr>
          <w:rFonts w:ascii="Arial" w:eastAsia="Times New Roman" w:hAnsi="Arial" w:cs="Arial"/>
          <w:sz w:val="24"/>
          <w:szCs w:val="21"/>
        </w:rPr>
        <w:instrText xml:space="preserve">; </w:instrText>
      </w:r>
      <w:r w:rsidRPr="009D238E" w:rsidR="00A43AB2">
        <w:rPr>
          <w:rFonts w:ascii="Arial" w:eastAsia="Times New Roman" w:hAnsi="Arial" w:cs="Arial"/>
          <w:sz w:val="24"/>
          <w:szCs w:val="21"/>
        </w:rPr>
        <w:instrText xml:space="preserve">" "" </w:instrText>
      </w:r>
      <w:r w:rsidRPr="009D238E" w:rsidR="00A43AB2">
        <w:rPr>
          <w:rFonts w:ascii="Arial" w:eastAsia="Times New Roman" w:hAnsi="Arial" w:cs="Arial"/>
          <w:sz w:val="24"/>
          <w:szCs w:val="21"/>
        </w:rPr>
        <w:fldChar w:fldCharType="separate"/>
      </w:r>
      <w:r w:rsidRPr="009D238E" w:rsidR="00A43AB2">
        <w:rPr>
          <w:rFonts w:ascii="Arial" w:eastAsia="Times New Roman" w:hAnsi="Arial" w:cs="Arial"/>
          <w:sz w:val="24"/>
          <w:szCs w:val="21"/>
        </w:rPr>
        <w:fldChar w:fldCharType="end"/>
      </w:r>
      <w:r w:rsidR="00B37411">
        <w:rPr>
          <w:rFonts w:ascii="Arial" w:eastAsia="Times New Roman" w:hAnsi="Arial" w:cs="Arial"/>
          <w:sz w:val="24"/>
          <w:szCs w:val="21"/>
        </w:rPr>
        <w:fldChar w:fldCharType="begin"/>
      </w:r>
      <w:r w:rsidR="00B37411">
        <w:rPr>
          <w:rFonts w:ascii="Arial" w:eastAsia="Times New Roman" w:hAnsi="Arial" w:cs="Arial"/>
          <w:sz w:val="24"/>
          <w:szCs w:val="21"/>
        </w:rPr>
        <w:instrText xml:space="preserve"> IF </w:instrText>
      </w:r>
      <w:r w:rsidR="00B37411">
        <w:rPr>
          <w:rFonts w:ascii="Arial" w:eastAsia="Times New Roman" w:hAnsi="Arial" w:cs="Arial"/>
          <w:sz w:val="24"/>
          <w:szCs w:val="21"/>
        </w:rPr>
        <w:instrText>1.00</w:instrText>
      </w:r>
      <w:r w:rsidR="00B37411">
        <w:rPr>
          <w:rFonts w:ascii="Arial" w:eastAsia="Times New Roman" w:hAnsi="Arial" w:cs="Arial"/>
          <w:sz w:val="24"/>
          <w:szCs w:val="21"/>
        </w:rPr>
        <w:instrText xml:space="preserve"> &gt; 0 "</w:instrText>
      </w:r>
      <w:r w:rsidR="00B37411">
        <w:rPr>
          <w:rFonts w:ascii="Arial" w:eastAsia="Times New Roman" w:hAnsi="Arial" w:cs="Arial"/>
          <w:sz w:val="24"/>
          <w:szCs w:val="21"/>
        </w:rPr>
        <w:instrText>1.00</w:instrText>
      </w:r>
      <w:r w:rsidR="00B37411">
        <w:rPr>
          <w:rFonts w:ascii="Arial" w:eastAsia="Times New Roman" w:hAnsi="Arial" w:cs="Arial"/>
          <w:sz w:val="24"/>
          <w:szCs w:val="21"/>
        </w:rPr>
        <w:instrText xml:space="preserve"> Non-Physician Credit(s); " "" </w:instrText>
      </w:r>
      <w:r w:rsidR="00B37411">
        <w:rPr>
          <w:rFonts w:ascii="Arial" w:eastAsia="Times New Roman" w:hAnsi="Arial" w:cs="Arial"/>
          <w:sz w:val="24"/>
          <w:szCs w:val="21"/>
        </w:rPr>
        <w:fldChar w:fldCharType="separate"/>
      </w:r>
      <w:r w:rsidR="00B37411">
        <w:rPr>
          <w:rFonts w:ascii="Arial" w:eastAsia="Times New Roman" w:hAnsi="Arial" w:cs="Arial"/>
          <w:sz w:val="24"/>
          <w:szCs w:val="21"/>
        </w:rPr>
        <w:t>1.00</w:t>
      </w:r>
      <w:r w:rsidR="00B37411">
        <w:rPr>
          <w:rFonts w:ascii="Arial" w:eastAsia="Times New Roman" w:hAnsi="Arial" w:cs="Arial"/>
          <w:sz w:val="24"/>
          <w:szCs w:val="21"/>
        </w:rPr>
        <w:t xml:space="preserve"> Non-Physician Credit(s); </w:t>
      </w:r>
      <w:r w:rsidR="00B37411">
        <w:rPr>
          <w:rFonts w:ascii="Arial" w:eastAsia="Times New Roman" w:hAnsi="Arial" w:cs="Arial"/>
          <w:sz w:val="24"/>
          <w:szCs w:val="21"/>
        </w:rPr>
        <w:fldChar w:fldCharType="end"/>
      </w:r>
    </w:p>
    <w:p w:rsidR="00DD5660" w:rsidRPr="00DD5660" w:rsidP="00DD5660">
      <w:pPr>
        <w:contextualSpacing/>
        <w:rPr>
          <w:rFonts w:ascii="Arial" w:hAnsi="Arial" w:cs="Arial"/>
          <w:sz w:val="20"/>
          <w:szCs w:val="20"/>
        </w:rPr>
      </w:pPr>
    </w:p>
    <w:p w:rsidR="00A57FC9" w:rsidP="006C7647">
      <w:pPr>
        <w:spacing w:after="0" w:line="240" w:lineRule="auto"/>
        <w:contextualSpacing/>
        <w:rPr>
          <w:rFonts w:ascii="Arial" w:hAnsi="Arial" w:cs="Arial"/>
          <w:b/>
          <w:sz w:val="24"/>
          <w:szCs w:val="24"/>
        </w:rPr>
      </w:pPr>
      <w:r>
        <w:rPr>
          <w:rFonts w:ascii="Arial" w:hAnsi="Arial" w:cs="Arial"/>
          <w:b/>
          <w:sz w:val="24"/>
          <w:szCs w:val="24"/>
        </w:rPr>
        <w:t>Disclosure of Financial Relationships:</w:t>
      </w:r>
    </w:p>
    <w:p w:rsidR="00A57FC9" w:rsidP="006C7647">
      <w:pPr>
        <w:spacing w:after="0" w:line="240" w:lineRule="auto"/>
        <w:contextualSpacing/>
        <w:rPr>
          <w:rFonts w:ascii="Arial" w:hAnsi="Arial" w:cs="Arial"/>
          <w:sz w:val="24"/>
          <w:szCs w:val="24"/>
        </w:rPr>
      </w:pPr>
      <w:r>
        <w:rPr>
          <w:rFonts w:ascii="Arial" w:hAnsi="Arial" w:cs="Arial"/>
          <w:sz w:val="24"/>
          <w:szCs w:val="24"/>
        </w:rPr>
        <w:t>The following planners, moderators or speakers have the following financial relationship(s) with commercial interests to disclose:</w:t>
      </w:r>
    </w:p>
    <w:p w:rsidR="00386F24" w:rsidRPr="00386F24" w:rsidP="006C7647">
      <w:pPr>
        <w:spacing w:after="0" w:line="240" w:lineRule="auto"/>
        <w:contextualSpacing/>
        <w:rPr>
          <w:rFonts w:ascii="Arial" w:hAnsi="Arial" w:cs="Arial"/>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040"/>
        <w:gridCol w:w="3040"/>
        <w:gridCol w:w="405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Jonathan Angus,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Stocks or stock options, excluding diversified mutual funds-Abbvie|Stocks or stock options, excluding diversified mutual funds-Geron|Stocks or stock options, excluding diversified mutual funds-Agenus|Stocks or stock options, excluding diversified mutual funds-GSK|Stocks or stock options, excluding diversified mutual funds-Crispr Therapeutics|Stocks or stock options, excluding diversified mutual funds-Beam Therapeutics (Relationship has ended) - 07/21/2026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Amanda Bennett,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Kristi Collins,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Carla A Muniz, N/A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Douglas B Sawyer,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Apurv Soni,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Fee-UT Health San Antonio|Consulting Fee-Shields Health|Honoraria-Hallym University|Independent Contractor (included contracted research)-ARPA-H (Relationship has ended)|Advisor-FDA (Relationship has ended) - 07/21/2026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Ashleigh Taylor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Tucker Witter,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- 12/30/2025</w:t>
            </w:r>
          </w:p>
        </w:tc>
      </w:tr>
    </w:tbl>
    <w:p w:rsidR="00552F5E" w:rsidRPr="00386F24">
      <w:pPr>
        <w:bidi w:val="0"/>
        <w:spacing w:after="280" w:afterAutospacing="1"/>
        <w:rPr>
          <w:rFonts w:ascii="Arial" w:hAnsi="Arial" w:cs="Arial"/>
          <w:sz w:val="24"/>
          <w:szCs w:val="24"/>
        </w:rPr>
      </w:pPr>
    </w:p>
    <w:sectPr w:rsidSect="00386F24">
      <w:pgSz w:w="12240" w:h="15840"/>
      <w:pgMar w:top="1080"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 w:name="Hind">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 w:type="table" w:customStyle="1" w:styleId="TableGrid1">
    <w:name w:val="Table Grid1"/>
    <w:basedOn w:val="TableNormal"/>
    <w:next w:val="TableGrid"/>
    <w:rsid w:val="002A779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jpeg" /><Relationship Id="rId8" Type="http://schemas.openxmlformats.org/officeDocument/2006/relationships/image" Target="media/image5.png" /><Relationship Id="rId9"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639e86e3-c6cb-4009-9315-13e2c40ba069}" enabled="1" method="Standard" siteId="{acbd2f92-746c-49e2-8f2b-a3cd96208853}"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798</Words>
  <Characters>4550</Characters>
  <Application>Microsoft Office Word</Application>
  <DocSecurity>0</DocSecurity>
  <Lines>37</Lines>
  <Paragraphs>10</Paragraphs>
  <ScaleCrop>false</ScaleCrop>
  <Company>A</Company>
  <LinksUpToDate>false</LinksUpToDate>
  <CharactersWithSpaces>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Stanley, Laura</cp:lastModifiedBy>
  <cp:revision>2</cp:revision>
  <dcterms:created xsi:type="dcterms:W3CDTF">2026-05-14T16:41:00Z</dcterms:created>
  <dcterms:modified xsi:type="dcterms:W3CDTF">2026-05-14T16:41:00Z</dcterms:modified>
</cp:coreProperties>
</file>