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5C" w:rsidRPr="001F715C" w:rsidRDefault="00F24D3D" w:rsidP="001F715C">
      <w:pPr>
        <w:spacing w:before="150" w:after="0" w:line="240" w:lineRule="auto"/>
        <w:outlineLvl w:val="3"/>
        <w:rPr>
          <w:rFonts w:ascii="Arial" w:eastAsia="Times New Roman" w:hAnsi="Arial" w:cs="Arial"/>
          <w:b/>
          <w:bCs/>
          <w:caps/>
          <w:color w:val="026937"/>
          <w:sz w:val="23"/>
          <w:szCs w:val="23"/>
          <w:lang w:val="en"/>
        </w:rPr>
      </w:pPr>
      <w:bookmarkStart w:id="0" w:name="live"/>
      <w:bookmarkEnd w:id="0"/>
      <w:r w:rsidRPr="00F24D3D">
        <w:rPr>
          <w:rFonts w:ascii="Arial" w:eastAsia="Times New Roman" w:hAnsi="Arial" w:cs="Arial"/>
          <w:b/>
          <w:bCs/>
          <w:caps/>
          <w:color w:val="0070C0"/>
          <w:sz w:val="40"/>
          <w:szCs w:val="40"/>
          <w:lang w:val="en"/>
        </w:rPr>
        <w:t>CME – Activity types</w:t>
      </w:r>
      <w:r>
        <w:rPr>
          <w:rFonts w:ascii="Arial" w:eastAsia="Times New Roman" w:hAnsi="Arial" w:cs="Arial"/>
          <w:b/>
          <w:bCs/>
          <w:caps/>
          <w:color w:val="026937"/>
          <w:sz w:val="23"/>
          <w:szCs w:val="23"/>
          <w:lang w:val="en"/>
        </w:rPr>
        <w:br/>
      </w:r>
      <w:r>
        <w:rPr>
          <w:rFonts w:ascii="Arial" w:eastAsia="Times New Roman" w:hAnsi="Arial" w:cs="Arial"/>
          <w:b/>
          <w:bCs/>
          <w:caps/>
          <w:color w:val="026937"/>
          <w:sz w:val="23"/>
          <w:szCs w:val="23"/>
          <w:lang w:val="en"/>
        </w:rPr>
        <w:br/>
      </w:r>
      <w:r>
        <w:rPr>
          <w:rFonts w:ascii="Arial" w:eastAsia="Times New Roman" w:hAnsi="Arial" w:cs="Arial"/>
          <w:b/>
          <w:bCs/>
          <w:caps/>
          <w:color w:val="026937"/>
          <w:sz w:val="23"/>
          <w:szCs w:val="23"/>
          <w:lang w:val="en"/>
        </w:rPr>
        <w:br/>
      </w:r>
      <w:r>
        <w:rPr>
          <w:rFonts w:ascii="Arial" w:eastAsia="Times New Roman" w:hAnsi="Arial" w:cs="Arial"/>
          <w:b/>
          <w:bCs/>
          <w:caps/>
          <w:color w:val="026937"/>
          <w:sz w:val="23"/>
          <w:szCs w:val="23"/>
          <w:lang w:val="en"/>
        </w:rPr>
        <w:br/>
      </w:r>
      <w:r w:rsidR="001F715C" w:rsidRPr="00F24D3D">
        <w:rPr>
          <w:rFonts w:ascii="Arial" w:eastAsia="Times New Roman" w:hAnsi="Arial" w:cs="Arial"/>
          <w:b/>
          <w:bCs/>
          <w:caps/>
          <w:color w:val="0070C0"/>
          <w:sz w:val="23"/>
          <w:szCs w:val="23"/>
          <w:lang w:val="en"/>
        </w:rPr>
        <w:t>Live Activities</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A live activity is a certified CME activity that occurs at a specific time as scheduled by the accredited CME provider. Participation may be in person or remotely as is the case of teleconferences or live Internet webinars. These may be offered through a variety of delivery mechanisms; examples include, but are not limited to, national, regional or local conferences, workshops, seminars, regularly scheduled conferences, journal clubs, simulation workshops, structured learning activities presented during a committee meeting and live Internet webinars.</w:t>
      </w:r>
    </w:p>
    <w:p w:rsidR="001F715C" w:rsidRPr="001F715C" w:rsidRDefault="00F24D3D" w:rsidP="001F715C">
      <w:pPr>
        <w:spacing w:before="225" w:after="225"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pict>
          <v:rect id="_x0000_i1036" style="width:0;height:.75pt" o:hralign="center" o:hrstd="t" o:hr="t" fillcolor="#a0a0a0" stroked="f"/>
        </w:pict>
      </w:r>
    </w:p>
    <w:p w:rsidR="001F715C" w:rsidRPr="00F24D3D" w:rsidRDefault="001F715C" w:rsidP="001F715C">
      <w:pPr>
        <w:spacing w:before="150" w:after="0" w:line="240" w:lineRule="auto"/>
        <w:outlineLvl w:val="3"/>
        <w:rPr>
          <w:rFonts w:ascii="Arial" w:eastAsia="Times New Roman" w:hAnsi="Arial" w:cs="Arial"/>
          <w:b/>
          <w:bCs/>
          <w:caps/>
          <w:color w:val="0070C0"/>
          <w:sz w:val="23"/>
          <w:szCs w:val="23"/>
          <w:lang w:val="en"/>
        </w:rPr>
      </w:pPr>
      <w:bookmarkStart w:id="1" w:name="enduring"/>
      <w:bookmarkEnd w:id="1"/>
      <w:r w:rsidRPr="00F24D3D">
        <w:rPr>
          <w:rFonts w:ascii="Arial" w:eastAsia="Times New Roman" w:hAnsi="Arial" w:cs="Arial"/>
          <w:b/>
          <w:bCs/>
          <w:caps/>
          <w:color w:val="0070C0"/>
          <w:sz w:val="23"/>
          <w:szCs w:val="23"/>
          <w:lang w:val="en"/>
        </w:rPr>
        <w:t>Enduring Materials</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Enduring materials are printed, audio, video or electronic activities, including internet, computer-assisted instruction, and broadcast activities. To be designated for credit, enduring materials must:</w:t>
      </w:r>
    </w:p>
    <w:p w:rsidR="001F715C" w:rsidRPr="001F715C" w:rsidRDefault="00F24D3D" w:rsidP="001F715C">
      <w:pPr>
        <w:spacing w:before="225" w:after="225"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pict>
          <v:rect id="_x0000_i1037" style="width:0;height:.75pt" o:hralign="center" o:hrstd="t" o:hr="t" fillcolor="#a0a0a0" stroked="f"/>
        </w:pict>
      </w:r>
    </w:p>
    <w:p w:rsidR="001F715C" w:rsidRPr="00F24D3D" w:rsidRDefault="001F715C" w:rsidP="001F715C">
      <w:pPr>
        <w:spacing w:before="150" w:after="0" w:line="240" w:lineRule="auto"/>
        <w:outlineLvl w:val="3"/>
        <w:rPr>
          <w:rFonts w:ascii="Arial" w:eastAsia="Times New Roman" w:hAnsi="Arial" w:cs="Arial"/>
          <w:b/>
          <w:bCs/>
          <w:caps/>
          <w:color w:val="0070C0"/>
          <w:sz w:val="23"/>
          <w:szCs w:val="23"/>
          <w:lang w:val="en"/>
        </w:rPr>
      </w:pPr>
      <w:bookmarkStart w:id="2" w:name="internet"/>
      <w:bookmarkEnd w:id="2"/>
      <w:r w:rsidRPr="00F24D3D">
        <w:rPr>
          <w:rFonts w:ascii="Arial" w:eastAsia="Times New Roman" w:hAnsi="Arial" w:cs="Arial"/>
          <w:b/>
          <w:bCs/>
          <w:caps/>
          <w:color w:val="0070C0"/>
          <w:sz w:val="23"/>
          <w:szCs w:val="23"/>
          <w:lang w:val="en"/>
        </w:rPr>
        <w:t>Internet Guidelines</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 xml:space="preserve">Live or enduring material activities that are provided via the Internet are considered to be "Internet CME." </w:t>
      </w:r>
    </w:p>
    <w:p w:rsidR="001F715C" w:rsidRPr="001F715C" w:rsidRDefault="00F24D3D" w:rsidP="001F715C">
      <w:pPr>
        <w:spacing w:before="225" w:after="225"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pict>
          <v:rect id="_x0000_i1038" style="width:0;height:.75pt" o:hralign="center" o:hrstd="t" o:hr="t" fillcolor="#a0a0a0" stroked="f"/>
        </w:pict>
      </w:r>
    </w:p>
    <w:p w:rsidR="001F715C" w:rsidRPr="00F24D3D" w:rsidRDefault="001F715C" w:rsidP="001F715C">
      <w:pPr>
        <w:spacing w:before="150" w:after="0" w:line="240" w:lineRule="auto"/>
        <w:outlineLvl w:val="3"/>
        <w:rPr>
          <w:rFonts w:ascii="Arial" w:eastAsia="Times New Roman" w:hAnsi="Arial" w:cs="Arial"/>
          <w:b/>
          <w:bCs/>
          <w:caps/>
          <w:color w:val="0070C0"/>
          <w:sz w:val="23"/>
          <w:szCs w:val="23"/>
          <w:lang w:val="en"/>
        </w:rPr>
      </w:pPr>
      <w:bookmarkStart w:id="3" w:name="journal"/>
      <w:bookmarkEnd w:id="3"/>
      <w:r w:rsidRPr="00F24D3D">
        <w:rPr>
          <w:rFonts w:ascii="Arial" w:eastAsia="Times New Roman" w:hAnsi="Arial" w:cs="Arial"/>
          <w:b/>
          <w:bCs/>
          <w:caps/>
          <w:color w:val="0070C0"/>
          <w:sz w:val="23"/>
          <w:szCs w:val="23"/>
          <w:lang w:val="en"/>
        </w:rPr>
        <w:t>Journal Based</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A journal-based CME activity is a certified CME activity in which an article, within a peer-reviewed, professional journal, is certified for AMA PRA Category 1 Credit™ prior to publication of the journal.</w:t>
      </w:r>
    </w:p>
    <w:p w:rsidR="001F715C" w:rsidRPr="001F715C" w:rsidRDefault="001F715C" w:rsidP="001F715C">
      <w:pPr>
        <w:numPr>
          <w:ilvl w:val="0"/>
          <w:numId w:val="8"/>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The ACCME does not consider a journal-based CME activity to have been completed until the learner documents participation in that activity to the provider.</w:t>
      </w:r>
    </w:p>
    <w:p w:rsidR="001F715C" w:rsidRPr="001F715C" w:rsidRDefault="001F715C" w:rsidP="001F715C">
      <w:pPr>
        <w:numPr>
          <w:ilvl w:val="0"/>
          <w:numId w:val="8"/>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Accredited CME providers should designate individual articles for one (1) AMA PRA Category 1 Credit™.</w:t>
      </w:r>
    </w:p>
    <w:p w:rsidR="001F715C" w:rsidRPr="001F715C" w:rsidRDefault="001F715C" w:rsidP="001F715C">
      <w:pPr>
        <w:numPr>
          <w:ilvl w:val="0"/>
          <w:numId w:val="8"/>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Credit should be awarded only to physicians who meet at least the minimum performance level on the assessment as established by the accredited CME provider.</w:t>
      </w:r>
    </w:p>
    <w:p w:rsidR="001F715C" w:rsidRPr="001F715C" w:rsidRDefault="00F24D3D" w:rsidP="001F715C">
      <w:pPr>
        <w:spacing w:before="225" w:after="225"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pict>
          <v:rect id="_x0000_i1039" style="width:0;height:.75pt" o:hralign="center" o:hrstd="t" o:hr="t" fillcolor="#a0a0a0" stroked="f"/>
        </w:pict>
      </w:r>
    </w:p>
    <w:p w:rsidR="001F715C" w:rsidRPr="00F24D3D" w:rsidRDefault="001F715C" w:rsidP="001F715C">
      <w:pPr>
        <w:spacing w:before="150" w:after="0" w:line="240" w:lineRule="auto"/>
        <w:outlineLvl w:val="3"/>
        <w:rPr>
          <w:rFonts w:ascii="Arial" w:eastAsia="Times New Roman" w:hAnsi="Arial" w:cs="Arial"/>
          <w:b/>
          <w:bCs/>
          <w:caps/>
          <w:color w:val="0070C0"/>
          <w:sz w:val="23"/>
          <w:szCs w:val="23"/>
          <w:lang w:val="en"/>
        </w:rPr>
      </w:pPr>
      <w:bookmarkStart w:id="4" w:name="performance"/>
      <w:bookmarkEnd w:id="4"/>
      <w:r w:rsidRPr="00F24D3D">
        <w:rPr>
          <w:rFonts w:ascii="Arial" w:eastAsia="Times New Roman" w:hAnsi="Arial" w:cs="Arial"/>
          <w:b/>
          <w:bCs/>
          <w:caps/>
          <w:color w:val="0070C0"/>
          <w:sz w:val="23"/>
          <w:szCs w:val="23"/>
          <w:lang w:val="en"/>
        </w:rPr>
        <w:t>Performance Improvement</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Performance Improvement (PI) activities must follow the AMA Guidelines and include all three stages of PI:</w:t>
      </w:r>
    </w:p>
    <w:p w:rsidR="001F715C" w:rsidRPr="001F715C" w:rsidRDefault="001F715C" w:rsidP="001F715C">
      <w:pPr>
        <w:numPr>
          <w:ilvl w:val="0"/>
          <w:numId w:val="9"/>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Identification of local practice gap through assessment of current practices;</w:t>
      </w:r>
    </w:p>
    <w:p w:rsidR="001F715C" w:rsidRPr="001F715C" w:rsidRDefault="001F715C" w:rsidP="001F715C">
      <w:pPr>
        <w:numPr>
          <w:ilvl w:val="0"/>
          <w:numId w:val="9"/>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lastRenderedPageBreak/>
        <w:t>Creation of educational objectives and formulation of an appropriate intervention based on results from first stage; and</w:t>
      </w:r>
    </w:p>
    <w:p w:rsidR="001F715C" w:rsidRPr="001F715C" w:rsidRDefault="001F715C" w:rsidP="001F715C">
      <w:pPr>
        <w:numPr>
          <w:ilvl w:val="0"/>
          <w:numId w:val="9"/>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Targeted Evaluation Strategy through re-assessment of practices resulting from the second stage and compared to the results of first stage.</w:t>
      </w:r>
    </w:p>
    <w:p w:rsidR="001F715C" w:rsidRPr="001F715C" w:rsidRDefault="00F24D3D" w:rsidP="001F715C">
      <w:pPr>
        <w:spacing w:before="225" w:after="225"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pict>
          <v:rect id="_x0000_i1040" style="width:0;height:.75pt" o:hralign="center" o:hrstd="t" o:hr="t" fillcolor="#a0a0a0" stroked="f"/>
        </w:pict>
      </w:r>
    </w:p>
    <w:p w:rsidR="001F715C" w:rsidRPr="00F24D3D" w:rsidRDefault="001F715C" w:rsidP="001F715C">
      <w:pPr>
        <w:spacing w:before="150" w:after="0" w:line="240" w:lineRule="auto"/>
        <w:outlineLvl w:val="3"/>
        <w:rPr>
          <w:rFonts w:ascii="Arial" w:eastAsia="Times New Roman" w:hAnsi="Arial" w:cs="Arial"/>
          <w:b/>
          <w:bCs/>
          <w:caps/>
          <w:color w:val="0070C0"/>
          <w:sz w:val="23"/>
          <w:szCs w:val="23"/>
          <w:lang w:val="en"/>
        </w:rPr>
      </w:pPr>
      <w:bookmarkStart w:id="5" w:name="learning"/>
      <w:bookmarkEnd w:id="5"/>
      <w:r w:rsidRPr="00F24D3D">
        <w:rPr>
          <w:rFonts w:ascii="Arial" w:eastAsia="Times New Roman" w:hAnsi="Arial" w:cs="Arial"/>
          <w:b/>
          <w:bCs/>
          <w:caps/>
          <w:color w:val="0070C0"/>
          <w:sz w:val="23"/>
          <w:szCs w:val="23"/>
          <w:lang w:val="en"/>
        </w:rPr>
        <w:t>Speaker Credit/Learning from Teaching</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 xml:space="preserve">"Learning from Teaching," commonly known as speaker credit, is an activity type developed by the AMA. A speaker may receive credit for the preparation, not the teaching, of an original presentation as part of </w:t>
      </w:r>
      <w:proofErr w:type="spellStart"/>
      <w:r w:rsidRPr="001F715C">
        <w:rPr>
          <w:rFonts w:ascii="Arial" w:eastAsia="Times New Roman" w:hAnsi="Arial" w:cs="Arial"/>
          <w:color w:val="000000"/>
          <w:sz w:val="21"/>
          <w:szCs w:val="21"/>
          <w:lang w:val="en"/>
        </w:rPr>
        <w:t>anAMA</w:t>
      </w:r>
      <w:proofErr w:type="spellEnd"/>
      <w:r w:rsidRPr="001F715C">
        <w:rPr>
          <w:rFonts w:ascii="Arial" w:eastAsia="Times New Roman" w:hAnsi="Arial" w:cs="Arial"/>
          <w:color w:val="000000"/>
          <w:sz w:val="21"/>
          <w:szCs w:val="21"/>
          <w:lang w:val="en"/>
        </w:rPr>
        <w:t xml:space="preserve"> PRA Category 1 Credit™ activity. No credits are given for repeat presentations of the same material. It is the responsibility of the physician to only claim the credit once, and credit may not be simultaneously earned as both a presenter and learner.</w:t>
      </w:r>
    </w:p>
    <w:p w:rsidR="001F715C" w:rsidRPr="001F715C" w:rsidRDefault="001F715C" w:rsidP="001F715C">
      <w:p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The AMA defines credit for “learning from teaching” to be a 2:1 ratio. For example:</w:t>
      </w:r>
    </w:p>
    <w:p w:rsidR="001F715C" w:rsidRPr="001F715C" w:rsidRDefault="001F715C" w:rsidP="001F715C">
      <w:pPr>
        <w:numPr>
          <w:ilvl w:val="0"/>
          <w:numId w:val="12"/>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If a speaker taught for 1 hour, the “learning from teaching” eligibility would be two AMA PRA Category 1 Credit™.</w:t>
      </w:r>
    </w:p>
    <w:p w:rsidR="001F715C" w:rsidRPr="001F715C" w:rsidRDefault="001F715C" w:rsidP="001F715C">
      <w:pPr>
        <w:numPr>
          <w:ilvl w:val="0"/>
          <w:numId w:val="12"/>
        </w:numPr>
        <w:spacing w:before="100" w:beforeAutospacing="1" w:after="100" w:afterAutospacing="1" w:line="240" w:lineRule="auto"/>
        <w:rPr>
          <w:rFonts w:ascii="Arial" w:eastAsia="Times New Roman" w:hAnsi="Arial" w:cs="Arial"/>
          <w:color w:val="000000"/>
          <w:sz w:val="21"/>
          <w:szCs w:val="21"/>
          <w:lang w:val="en"/>
        </w:rPr>
      </w:pPr>
      <w:r w:rsidRPr="001F715C">
        <w:rPr>
          <w:rFonts w:ascii="Arial" w:eastAsia="Times New Roman" w:hAnsi="Arial" w:cs="Arial"/>
          <w:color w:val="000000"/>
          <w:sz w:val="21"/>
          <w:szCs w:val="21"/>
          <w:lang w:val="en"/>
        </w:rPr>
        <w:t>If a speaker taught for 15 minutes, the “learning from teaching” eligibility would be 0.5 AMA PRA Category 1 Credit™.</w:t>
      </w:r>
      <w:bookmarkStart w:id="6" w:name="_GoBack"/>
      <w:bookmarkEnd w:id="6"/>
    </w:p>
    <w:sectPr w:rsidR="001F715C" w:rsidRPr="001F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in;height:3in" o:bullet="t"/>
    </w:pict>
  </w:numPicBullet>
  <w:numPicBullet w:numPicBulletId="1">
    <w:pict>
      <v:shape id="_x0000_i1104" type="#_x0000_t75" style="width:3in;height:3in" o:bullet="t"/>
    </w:pict>
  </w:numPicBullet>
  <w:numPicBullet w:numPicBulletId="2">
    <w:pict>
      <v:shape id="_x0000_i1105" type="#_x0000_t75" style="width:3in;height:3in" o:bullet="t"/>
    </w:pict>
  </w:numPicBullet>
  <w:numPicBullet w:numPicBulletId="3">
    <w:pict>
      <v:shape id="_x0000_i1106" type="#_x0000_t75" style="width:3in;height:3in" o:bullet="t"/>
    </w:pict>
  </w:numPicBullet>
  <w:numPicBullet w:numPicBulletId="4">
    <w:pict>
      <v:shape id="_x0000_i1107" type="#_x0000_t75" style="width:3in;height:3in" o:bullet="t"/>
    </w:pict>
  </w:numPicBullet>
  <w:numPicBullet w:numPicBulletId="5">
    <w:pict>
      <v:shape id="_x0000_i1108" type="#_x0000_t75" style="width:3in;height:3in" o:bullet="t"/>
    </w:pict>
  </w:numPicBullet>
  <w:numPicBullet w:numPicBulletId="6">
    <w:pict>
      <v:shape id="_x0000_i1109" type="#_x0000_t75" style="width:3in;height:3in" o:bullet="t"/>
    </w:pict>
  </w:numPicBullet>
  <w:numPicBullet w:numPicBulletId="7">
    <w:pict>
      <v:shape id="_x0000_i1110" type="#_x0000_t75" style="width:3in;height:3in" o:bullet="t"/>
    </w:pict>
  </w:numPicBullet>
  <w:numPicBullet w:numPicBulletId="8">
    <w:pict>
      <v:shape id="_x0000_i1111" type="#_x0000_t75" style="width:3in;height:3in" o:bullet="t"/>
    </w:pict>
  </w:numPicBullet>
  <w:numPicBullet w:numPicBulletId="9">
    <w:pict>
      <v:shape id="_x0000_i1112" type="#_x0000_t75" style="width:3in;height:3in" o:bullet="t"/>
    </w:pict>
  </w:numPicBullet>
  <w:numPicBullet w:numPicBulletId="10">
    <w:pict>
      <v:shape id="_x0000_i1113" type="#_x0000_t75" style="width:3in;height:3in" o:bullet="t"/>
    </w:pict>
  </w:numPicBullet>
  <w:abstractNum w:abstractNumId="0" w15:restartNumberingAfterBreak="0">
    <w:nsid w:val="0A3E25AD"/>
    <w:multiLevelType w:val="multilevel"/>
    <w:tmpl w:val="52A2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E373F"/>
    <w:multiLevelType w:val="multilevel"/>
    <w:tmpl w:val="359AC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E719C"/>
    <w:multiLevelType w:val="multilevel"/>
    <w:tmpl w:val="677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35AC8"/>
    <w:multiLevelType w:val="multilevel"/>
    <w:tmpl w:val="C56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6124E"/>
    <w:multiLevelType w:val="multilevel"/>
    <w:tmpl w:val="C5B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1274EE"/>
    <w:multiLevelType w:val="multilevel"/>
    <w:tmpl w:val="65CEF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C5203"/>
    <w:multiLevelType w:val="multilevel"/>
    <w:tmpl w:val="F91C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EF1857"/>
    <w:multiLevelType w:val="multilevel"/>
    <w:tmpl w:val="0EA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C62925"/>
    <w:multiLevelType w:val="multilevel"/>
    <w:tmpl w:val="621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10264"/>
    <w:multiLevelType w:val="multilevel"/>
    <w:tmpl w:val="B08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FC340F"/>
    <w:multiLevelType w:val="multilevel"/>
    <w:tmpl w:val="E690B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4F68E2"/>
    <w:multiLevelType w:val="multilevel"/>
    <w:tmpl w:val="C9B4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2"/>
  </w:num>
  <w:num w:numId="5">
    <w:abstractNumId w:val="1"/>
  </w:num>
  <w:num w:numId="6">
    <w:abstractNumId w:val="4"/>
  </w:num>
  <w:num w:numId="7">
    <w:abstractNumId w:val="6"/>
  </w:num>
  <w:num w:numId="8">
    <w:abstractNumId w:val="3"/>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5C"/>
    <w:rsid w:val="001F715C"/>
    <w:rsid w:val="00317D71"/>
    <w:rsid w:val="00525A56"/>
    <w:rsid w:val="00F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24B7"/>
  <w15:chartTrackingRefBased/>
  <w15:docId w15:val="{CA412B26-6795-434E-AABA-D87E5C9A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1739">
      <w:bodyDiv w:val="1"/>
      <w:marLeft w:val="0"/>
      <w:marRight w:val="0"/>
      <w:marTop w:val="0"/>
      <w:marBottom w:val="0"/>
      <w:divBdr>
        <w:top w:val="none" w:sz="0" w:space="0" w:color="auto"/>
        <w:left w:val="none" w:sz="0" w:space="0" w:color="auto"/>
        <w:bottom w:val="none" w:sz="0" w:space="0" w:color="auto"/>
        <w:right w:val="none" w:sz="0" w:space="0" w:color="auto"/>
      </w:divBdr>
      <w:divsChild>
        <w:div w:id="1838498912">
          <w:marLeft w:val="0"/>
          <w:marRight w:val="0"/>
          <w:marTop w:val="0"/>
          <w:marBottom w:val="0"/>
          <w:divBdr>
            <w:top w:val="none" w:sz="0" w:space="0" w:color="auto"/>
            <w:left w:val="none" w:sz="0" w:space="0" w:color="auto"/>
            <w:bottom w:val="none" w:sz="0" w:space="0" w:color="auto"/>
            <w:right w:val="none" w:sz="0" w:space="0" w:color="auto"/>
          </w:divBdr>
          <w:divsChild>
            <w:div w:id="1383020204">
              <w:marLeft w:val="0"/>
              <w:marRight w:val="0"/>
              <w:marTop w:val="0"/>
              <w:marBottom w:val="0"/>
              <w:divBdr>
                <w:top w:val="none" w:sz="0" w:space="0" w:color="auto"/>
                <w:left w:val="none" w:sz="0" w:space="0" w:color="auto"/>
                <w:bottom w:val="none" w:sz="0" w:space="0" w:color="auto"/>
                <w:right w:val="none" w:sz="0" w:space="0" w:color="auto"/>
              </w:divBdr>
              <w:divsChild>
                <w:div w:id="1163859655">
                  <w:marLeft w:val="0"/>
                  <w:marRight w:val="0"/>
                  <w:marTop w:val="0"/>
                  <w:marBottom w:val="0"/>
                  <w:divBdr>
                    <w:top w:val="none" w:sz="0" w:space="0" w:color="auto"/>
                    <w:left w:val="none" w:sz="0" w:space="0" w:color="auto"/>
                    <w:bottom w:val="none" w:sz="0" w:space="0" w:color="auto"/>
                    <w:right w:val="none" w:sz="0" w:space="0" w:color="auto"/>
                  </w:divBdr>
                  <w:divsChild>
                    <w:div w:id="1459951626">
                      <w:marLeft w:val="0"/>
                      <w:marRight w:val="0"/>
                      <w:marTop w:val="0"/>
                      <w:marBottom w:val="0"/>
                      <w:divBdr>
                        <w:top w:val="none" w:sz="0" w:space="0" w:color="auto"/>
                        <w:left w:val="none" w:sz="0" w:space="0" w:color="auto"/>
                        <w:bottom w:val="none" w:sz="0" w:space="0" w:color="auto"/>
                        <w:right w:val="none" w:sz="0" w:space="0" w:color="auto"/>
                      </w:divBdr>
                      <w:divsChild>
                        <w:div w:id="1737584617">
                          <w:marLeft w:val="0"/>
                          <w:marRight w:val="0"/>
                          <w:marTop w:val="0"/>
                          <w:marBottom w:val="0"/>
                          <w:divBdr>
                            <w:top w:val="none" w:sz="0" w:space="0" w:color="auto"/>
                            <w:left w:val="none" w:sz="0" w:space="0" w:color="auto"/>
                            <w:bottom w:val="none" w:sz="0" w:space="0" w:color="auto"/>
                            <w:right w:val="none" w:sz="0" w:space="0" w:color="auto"/>
                          </w:divBdr>
                          <w:divsChild>
                            <w:div w:id="1826319320">
                              <w:marLeft w:val="0"/>
                              <w:marRight w:val="0"/>
                              <w:marTop w:val="0"/>
                              <w:marBottom w:val="0"/>
                              <w:divBdr>
                                <w:top w:val="none" w:sz="0" w:space="0" w:color="auto"/>
                                <w:left w:val="none" w:sz="0" w:space="0" w:color="auto"/>
                                <w:bottom w:val="none" w:sz="0" w:space="0" w:color="auto"/>
                                <w:right w:val="none" w:sz="0" w:space="0" w:color="auto"/>
                              </w:divBdr>
                              <w:divsChild>
                                <w:div w:id="1258437969">
                                  <w:marLeft w:val="0"/>
                                  <w:marRight w:val="0"/>
                                  <w:marTop w:val="0"/>
                                  <w:marBottom w:val="0"/>
                                  <w:divBdr>
                                    <w:top w:val="none" w:sz="0" w:space="0" w:color="auto"/>
                                    <w:left w:val="none" w:sz="0" w:space="0" w:color="auto"/>
                                    <w:bottom w:val="none" w:sz="0" w:space="0" w:color="auto"/>
                                    <w:right w:val="none" w:sz="0" w:space="0" w:color="auto"/>
                                  </w:divBdr>
                                  <w:divsChild>
                                    <w:div w:id="1502697226">
                                      <w:marLeft w:val="0"/>
                                      <w:marRight w:val="0"/>
                                      <w:marTop w:val="0"/>
                                      <w:marBottom w:val="0"/>
                                      <w:divBdr>
                                        <w:top w:val="none" w:sz="0" w:space="0" w:color="auto"/>
                                        <w:left w:val="none" w:sz="0" w:space="0" w:color="auto"/>
                                        <w:bottom w:val="none" w:sz="0" w:space="0" w:color="auto"/>
                                        <w:right w:val="none" w:sz="0" w:space="0" w:color="auto"/>
                                      </w:divBdr>
                                      <w:divsChild>
                                        <w:div w:id="217521393">
                                          <w:marLeft w:val="0"/>
                                          <w:marRight w:val="0"/>
                                          <w:marTop w:val="0"/>
                                          <w:marBottom w:val="0"/>
                                          <w:divBdr>
                                            <w:top w:val="none" w:sz="0" w:space="0" w:color="auto"/>
                                            <w:left w:val="none" w:sz="0" w:space="0" w:color="auto"/>
                                            <w:bottom w:val="none" w:sz="0" w:space="0" w:color="auto"/>
                                            <w:right w:val="none" w:sz="0" w:space="0" w:color="auto"/>
                                          </w:divBdr>
                                          <w:divsChild>
                                            <w:div w:id="78525904">
                                              <w:marLeft w:val="0"/>
                                              <w:marRight w:val="0"/>
                                              <w:marTop w:val="0"/>
                                              <w:marBottom w:val="0"/>
                                              <w:divBdr>
                                                <w:top w:val="none" w:sz="0" w:space="0" w:color="auto"/>
                                                <w:left w:val="none" w:sz="0" w:space="0" w:color="auto"/>
                                                <w:bottom w:val="none" w:sz="0" w:space="0" w:color="auto"/>
                                                <w:right w:val="none" w:sz="0" w:space="0" w:color="auto"/>
                                              </w:divBdr>
                                              <w:divsChild>
                                                <w:div w:id="1116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Stanley</dc:creator>
  <cp:keywords/>
  <dc:description/>
  <cp:lastModifiedBy>Laura Stanley</cp:lastModifiedBy>
  <cp:revision>2</cp:revision>
  <dcterms:created xsi:type="dcterms:W3CDTF">2020-10-09T12:41:00Z</dcterms:created>
  <dcterms:modified xsi:type="dcterms:W3CDTF">2020-10-09T14:49:00Z</dcterms:modified>
</cp:coreProperties>
</file>