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07BF0" w:rsidP="75606142">
      <w:pPr>
        <w:spacing w:after="0" w:line="240" w:lineRule="auto"/>
        <w:contextualSpacing/>
        <w:jc w:val="center"/>
      </w:pPr>
      <w:r>
        <w:rPr>
          <w:noProof/>
        </w:rPr>
        <w:drawing>
          <wp:inline distT="0" distB="0" distL="0" distR="0">
            <wp:extent cx="3876675" cy="540006"/>
            <wp:effectExtent l="0" t="0" r="0" b="0"/>
            <wp:docPr id="14797065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06574" name="Picture 1479706574"/>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3876675" cy="540006"/>
                    </a:xfrm>
                    <a:prstGeom prst="rect">
                      <a:avLst/>
                    </a:prstGeom>
                  </pic:spPr>
                </pic:pic>
              </a:graphicData>
            </a:graphic>
          </wp:inline>
        </w:drawing>
      </w:r>
    </w:p>
    <w:p w:rsidR="00DB705B" w:rsidP="006C7647">
      <w:pPr>
        <w:spacing w:after="0" w:line="240" w:lineRule="auto"/>
        <w:contextualSpacing/>
        <w:jc w:val="center"/>
        <w:rPr>
          <w:sz w:val="40"/>
          <w:szCs w:val="40"/>
        </w:rPr>
      </w:pPr>
    </w:p>
    <w:p w:rsidR="00820EAE" w:rsidRPr="00820EAE" w:rsidP="006C7647">
      <w:pPr>
        <w:spacing w:after="0" w:line="240" w:lineRule="auto"/>
        <w:contextualSpacing/>
        <w:jc w:val="center"/>
        <w:rPr>
          <w:sz w:val="32"/>
          <w:szCs w:val="32"/>
        </w:rPr>
      </w:pPr>
      <w:r w:rsidRPr="00820EAE">
        <w:rPr>
          <w:sz w:val="32"/>
          <w:szCs w:val="32"/>
        </w:rPr>
        <w:fldChar w:fldCharType="begin"/>
      </w:r>
      <w:r w:rsidRPr="00820EAE">
        <w:rPr>
          <w:sz w:val="32"/>
          <w:szCs w:val="32"/>
        </w:rPr>
        <w:instrText xml:space="preserve"> IF </w:instrText>
      </w:r>
      <w:r w:rsidRPr="00820EAE">
        <w:rPr>
          <w:sz w:val="32"/>
          <w:szCs w:val="32"/>
        </w:rPr>
        <w:instrText>"</w:instrText>
      </w:r>
      <w:r w:rsidRPr="00820EAE">
        <w:rPr>
          <w:sz w:val="32"/>
          <w:szCs w:val="32"/>
        </w:rPr>
        <w:instrText>"</w:instrText>
      </w:r>
      <w:r w:rsidRPr="00820EAE">
        <w:rPr>
          <w:sz w:val="32"/>
          <w:szCs w:val="32"/>
        </w:rPr>
        <w:instrText xml:space="preserve"> &lt;&gt; "" "</w:instrText>
      </w:r>
      <w:r w:rsidRPr="00820EAE">
        <w:rPr>
          <w:sz w:val="40"/>
          <w:szCs w:val="40"/>
        </w:rPr>
        <w:fldChar w:fldCharType="begin"/>
      </w:r>
      <w:r w:rsidRPr="00820EAE">
        <w:rPr>
          <w:sz w:val="40"/>
          <w:szCs w:val="40"/>
        </w:rPr>
        <w:instrText xml:space="preserve"> MERGEFIELD ParentName </w:instrText>
      </w:r>
      <w:r w:rsidRPr="00820EAE">
        <w:rPr>
          <w:sz w:val="40"/>
          <w:szCs w:val="40"/>
        </w:rPr>
        <w:fldChar w:fldCharType="separate"/>
      </w:r>
      <w:r w:rsidR="00875345">
        <w:rPr>
          <w:noProof/>
          <w:sz w:val="40"/>
          <w:szCs w:val="40"/>
        </w:rPr>
        <w:instrText>«ParentName»</w:instrText>
      </w:r>
      <w:r w:rsidRPr="00820EAE">
        <w:rPr>
          <w:sz w:val="40"/>
          <w:szCs w:val="40"/>
        </w:rPr>
        <w:fldChar w:fldCharType="end"/>
      </w:r>
    </w:p>
    <w:p w:rsidR="00875345" w:rsidRPr="00820EAE" w:rsidP="006C7647">
      <w:pPr>
        <w:spacing w:after="0" w:line="240" w:lineRule="auto"/>
        <w:contextualSpacing/>
        <w:jc w:val="center"/>
        <w:rPr>
          <w:noProof/>
          <w:sz w:val="32"/>
          <w:szCs w:val="32"/>
        </w:rPr>
      </w:pPr>
      <w:r w:rsidRPr="00820EAE">
        <w:rPr>
          <w:sz w:val="32"/>
          <w:szCs w:val="32"/>
        </w:rPr>
        <w:fldChar w:fldCharType="begin"/>
      </w:r>
      <w:r w:rsidRPr="00820EAE">
        <w:rPr>
          <w:sz w:val="32"/>
          <w:szCs w:val="32"/>
        </w:rPr>
        <w:instrText xml:space="preserve"> MERGEFIELD </w:instrText>
      </w:r>
      <w:r>
        <w:rPr>
          <w:sz w:val="32"/>
          <w:szCs w:val="32"/>
        </w:rPr>
        <w:instrText>EventName</w:instrText>
      </w:r>
      <w:r w:rsidRPr="00820EAE">
        <w:rPr>
          <w:sz w:val="32"/>
          <w:szCs w:val="32"/>
        </w:rPr>
        <w:instrText xml:space="preserve"> </w:instrText>
      </w:r>
      <w:r w:rsidRPr="00820EAE">
        <w:rPr>
          <w:sz w:val="32"/>
          <w:szCs w:val="32"/>
        </w:rPr>
        <w:fldChar w:fldCharType="separate"/>
      </w:r>
      <w:r>
        <w:rPr>
          <w:noProof/>
          <w:sz w:val="32"/>
          <w:szCs w:val="32"/>
        </w:rPr>
        <w:instrText>«EventName»</w:instrText>
      </w:r>
      <w:r w:rsidRPr="00820EAE">
        <w:rPr>
          <w:sz w:val="32"/>
          <w:szCs w:val="32"/>
        </w:rPr>
        <w:fldChar w:fldCharType="end"/>
      </w:r>
      <w:r w:rsidRPr="00820EAE">
        <w:rPr>
          <w:sz w:val="32"/>
          <w:szCs w:val="32"/>
        </w:rPr>
        <w:instrText>" "</w:instrText>
      </w:r>
      <w:r>
        <w:rPr>
          <w:sz w:val="40"/>
          <w:szCs w:val="40"/>
        </w:rPr>
        <w:instrText>Pediatric Grand Rounds</w:instrText>
      </w:r>
      <w:r w:rsidRPr="00820EAE">
        <w:rPr>
          <w:sz w:val="32"/>
          <w:szCs w:val="32"/>
        </w:rPr>
        <w:instrText xml:space="preserve">" </w:instrText>
      </w:r>
      <w:r w:rsidRPr="00820EAE">
        <w:rPr>
          <w:sz w:val="32"/>
          <w:szCs w:val="32"/>
        </w:rPr>
        <w:fldChar w:fldCharType="separate"/>
      </w:r>
      <w:r>
        <w:rPr>
          <w:sz w:val="40"/>
          <w:szCs w:val="40"/>
        </w:rPr>
        <w:t>Pediatric Grand Rounds</w:t>
      </w:r>
      <w:r w:rsidRPr="00820EAE" w:rsidR="00820EAE">
        <w:rPr>
          <w:sz w:val="32"/>
          <w:szCs w:val="32"/>
        </w:rPr>
        <w:fldChar w:fldCharType="end"/>
      </w:r>
      <w:r w:rsidRPr="00EA029C" w:rsidR="00B3131A">
        <w:rPr>
          <w:rFonts w:ascii="Arial" w:hAnsi="Arial"/>
          <w:bCs/>
          <w:noProof/>
          <w:color w:val="17365D" w:themeColor="text2" w:themeShade="BF"/>
        </w:rPr>
        <w:fldChar w:fldCharType="begin"/>
      </w:r>
      <w:r w:rsidRPr="00EA029C" w:rsidR="00B3131A">
        <w:rPr>
          <w:rFonts w:ascii="Arial" w:hAnsi="Arial"/>
          <w:bCs/>
          <w:noProof/>
          <w:color w:val="17365D" w:themeColor="text2" w:themeShade="BF"/>
        </w:rPr>
        <w:instrText xml:space="preserve"> IF </w:instrText>
      </w:r>
      <w:r w:rsidR="004021DF">
        <w:rPr>
          <w:rFonts w:ascii="Arial" w:hAnsi="Arial"/>
          <w:bCs/>
          <w:noProof/>
          <w:color w:val="17365D" w:themeColor="text2" w:themeShade="BF"/>
        </w:rPr>
        <w:instrText>"</w:instrText>
      </w:r>
      <w:r>
        <w:rPr>
          <w:rtl w:val="0"/>
        </w:rPr>
        <w:instrText>Educational presentations to pediatric faculty. Topics include updates on patient care, quality initiative, research, Clinicopathology Conferences, advocacy, and other areas pertinent for child health.</w:instrText>
      </w:r>
      <w:r w:rsidR="004021DF">
        <w:rPr>
          <w:rFonts w:ascii="Arial" w:hAnsi="Arial"/>
          <w:bCs/>
          <w:noProof/>
          <w:color w:val="17365D" w:themeColor="text2" w:themeShade="BF"/>
        </w:rPr>
        <w:instrText>"</w:instrText>
      </w:r>
      <w:r w:rsidRPr="00EA029C" w:rsidR="00B3131A">
        <w:rPr>
          <w:rFonts w:ascii="Arial" w:hAnsi="Arial"/>
          <w:bCs/>
          <w:noProof/>
          <w:color w:val="17365D" w:themeColor="text2" w:themeShade="BF"/>
        </w:rPr>
        <w:instrText xml:space="preserve"> &lt;&gt; "" "</w:instrText>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875345" w:rsidP="006C7647">
      <w:pPr>
        <w:spacing w:after="0" w:line="240" w:lineRule="auto"/>
        <w:contextualSpacing/>
        <w:jc w:val="center"/>
        <w:rPr>
          <w:rFonts w:ascii="Arial" w:hAnsi="Arial"/>
          <w:bCs/>
          <w:noProof/>
          <w:color w:val="17365D" w:themeColor="text2" w:themeShade="BF"/>
          <w:sz w:val="20"/>
          <w:szCs w:val="20"/>
        </w:rPr>
      </w:pPr>
      <w:r>
        <w:rPr>
          <w:rtl w:val="0"/>
        </w:rPr>
        <w:instrText>Educational presentations to pediatric faculty. Topics include updates on patient care, quality initiative, research, Clinicopathology Conferences, advocacy, and other areas pertinent for child health.</w:instrText>
      </w:r>
      <w:r w:rsidRPr="00EA029C" w:rsidR="00B3131A">
        <w:rPr>
          <w:rFonts w:ascii="Arial" w:hAnsi="Arial"/>
          <w:bCs/>
          <w:noProof/>
          <w:color w:val="17365D" w:themeColor="text2" w:themeShade="BF"/>
        </w:rPr>
        <w:instrText xml:space="preserve">" "" </w:instrText>
      </w:r>
      <w:r w:rsidRPr="00EA029C" w:rsidR="00B3131A">
        <w:rPr>
          <w:rFonts w:ascii="Arial" w:hAnsi="Arial"/>
          <w:bCs/>
          <w:noProof/>
          <w:color w:val="17365D" w:themeColor="text2" w:themeShade="BF"/>
        </w:rPr>
        <w:fldChar w:fldCharType="separate"/>
      </w:r>
    </w:p>
    <w:p w:rsidR="000F5D19" w:rsidP="006C7647">
      <w:pPr>
        <w:spacing w:after="0" w:line="240" w:lineRule="auto"/>
        <w:contextualSpacing/>
        <w:jc w:val="center"/>
        <w:rPr>
          <w:rFonts w:ascii="Arial" w:hAnsi="Arial"/>
          <w:bCs/>
          <w:noProof/>
          <w:color w:val="17365D" w:themeColor="text2" w:themeShade="BF"/>
          <w:sz w:val="20"/>
          <w:szCs w:val="20"/>
        </w:rPr>
      </w:pPr>
    </w:p>
    <w:p w:rsidR="000F5D19" w:rsidP="006C7647">
      <w:pPr>
        <w:spacing w:after="0" w:line="240" w:lineRule="auto"/>
        <w:contextualSpacing/>
        <w:jc w:val="center"/>
        <w:rPr>
          <w:rFonts w:ascii="Arial" w:hAnsi="Arial"/>
          <w:bCs/>
          <w:noProof/>
          <w:color w:val="17365D" w:themeColor="text2" w:themeShade="BF"/>
          <w:sz w:val="20"/>
          <w:szCs w:val="20"/>
        </w:rPr>
      </w:pPr>
    </w:p>
    <w:p w:rsidR="00B3131A" w:rsidRPr="00EA029C" w:rsidP="006C7647">
      <w:pPr>
        <w:spacing w:after="0" w:line="240" w:lineRule="auto"/>
        <w:contextualSpacing/>
        <w:jc w:val="center"/>
        <w:rPr>
          <w:rFonts w:ascii="Arial" w:hAnsi="Arial"/>
          <w:bCs/>
          <w:noProof/>
          <w:color w:val="17365D" w:themeColor="text2" w:themeShade="BF"/>
        </w:rPr>
      </w:pPr>
      <w:r>
        <w:rPr>
          <w:rtl w:val="0"/>
        </w:rPr>
        <w:t>Educational presentations to pediatric faculty. Topics include updates on patient care, quality initiative, research, Clinicopathology Conferences, advocacy, and other areas pertinent for child health.</w:t>
      </w:r>
      <w:r w:rsidRPr="00EA029C">
        <w:rPr>
          <w:rFonts w:ascii="Arial" w:hAnsi="Arial"/>
          <w:bCs/>
          <w:noProof/>
          <w:color w:val="17365D" w:themeColor="text2" w:themeShade="BF"/>
        </w:rPr>
        <w:fldChar w:fldCharType="end"/>
      </w:r>
    </w:p>
    <w:p w:rsidR="006C7647" w:rsidRPr="00386F24" w:rsidP="006C7647">
      <w:pPr>
        <w:spacing w:after="0" w:line="240" w:lineRule="auto"/>
        <w:contextualSpacing/>
        <w:jc w:val="center"/>
        <w:rPr>
          <w:rFonts w:ascii="Arial" w:hAnsi="Arial" w:cs="Arial"/>
          <w:b/>
          <w:sz w:val="20"/>
          <w:szCs w:val="20"/>
        </w:rPr>
      </w:pPr>
    </w:p>
    <w:p w:rsidR="008D42EF" w:rsidP="006C7647">
      <w:pPr>
        <w:spacing w:after="0" w:line="240" w:lineRule="auto"/>
        <w:contextualSpacing/>
        <w:jc w:val="center"/>
        <w:rPr>
          <w:rFonts w:cs="Arial"/>
          <w:bCs/>
        </w:rPr>
      </w:pPr>
      <w:r w:rsidRPr="0018769F">
        <w:rPr>
          <w:rFonts w:ascii="Arial" w:hAnsi="Arial" w:cs="Arial"/>
          <w:b/>
          <w:sz w:val="28"/>
          <w:szCs w:val="28"/>
        </w:rPr>
        <w:t>01/07/2027</w:t>
      </w:r>
      <w:r w:rsidRPr="008D42EF">
        <w:rPr>
          <w:rFonts w:cs="Arial"/>
          <w:bCs/>
        </w:rPr>
        <w:fldChar w:fldCharType="begin"/>
      </w:r>
      <w:r w:rsidRPr="008D42EF">
        <w:rPr>
          <w:rFonts w:cs="Arial"/>
          <w:bCs/>
        </w:rPr>
        <w:instrText xml:space="preserve"> IF </w:instrText>
      </w:r>
      <w:r>
        <w:rPr>
          <w:rFonts w:cs="Arial"/>
          <w:bCs/>
        </w:rPr>
        <w:instrText>"</w:instrText>
      </w:r>
      <w:r>
        <w:rPr>
          <w:rFonts w:cs="Arial"/>
          <w:bCs/>
        </w:rPr>
        <w:instrText>Dana Center, Portland, Maine and/or online</w:instrText>
      </w:r>
      <w:r>
        <w:rPr>
          <w:rFonts w:cs="Arial"/>
          <w:bCs/>
        </w:rPr>
        <w:instrText>"</w:instrText>
      </w:r>
      <w:r>
        <w:rPr>
          <w:rFonts w:cs="Arial"/>
          <w:bCs/>
        </w:rPr>
        <w:instrText xml:space="preserve"> &lt;&gt; "" "</w:instrText>
      </w:r>
    </w:p>
    <w:p w:rsidR="00386F24" w:rsidRPr="00386F24" w:rsidP="006C7647">
      <w:pPr>
        <w:spacing w:after="0" w:line="240" w:lineRule="auto"/>
        <w:contextualSpacing/>
        <w:jc w:val="center"/>
        <w:rPr>
          <w:rFonts w:cs="Arial"/>
          <w:bCs/>
          <w:sz w:val="20"/>
          <w:szCs w:val="20"/>
        </w:rPr>
      </w:pPr>
    </w:p>
    <w:p w:rsidR="00875345" w:rsidP="006C7647">
      <w:pPr>
        <w:spacing w:after="0" w:line="240" w:lineRule="auto"/>
        <w:contextualSpacing/>
        <w:jc w:val="center"/>
        <w:rPr>
          <w:rFonts w:cs="Arial"/>
          <w:bCs/>
          <w:noProof/>
        </w:rPr>
      </w:pPr>
      <w:r>
        <w:rPr>
          <w:rFonts w:cs="Arial"/>
          <w:bCs/>
        </w:rPr>
        <w:instrText>Dana Center, Portland, Maine and/or online</w:instrText>
      </w:r>
      <w:r>
        <w:rPr>
          <w:rFonts w:cs="Arial"/>
          <w:bCs/>
        </w:rPr>
        <w:instrText>" ""</w:instrText>
      </w:r>
      <w:r w:rsidRPr="008D42EF">
        <w:rPr>
          <w:rFonts w:cs="Arial"/>
          <w:bCs/>
        </w:rPr>
        <w:instrText xml:space="preserve"> </w:instrText>
      </w:r>
      <w:r w:rsidRPr="008D42EF">
        <w:rPr>
          <w:rFonts w:cs="Arial"/>
          <w:bCs/>
        </w:rPr>
        <w:fldChar w:fldCharType="separate"/>
      </w:r>
    </w:p>
    <w:p w:rsidR="00386F24" w:rsidRPr="00386F24" w:rsidP="006C7647">
      <w:pPr>
        <w:spacing w:after="0" w:line="240" w:lineRule="auto"/>
        <w:contextualSpacing/>
        <w:jc w:val="center"/>
        <w:rPr>
          <w:rFonts w:cs="Arial"/>
          <w:bCs/>
          <w:sz w:val="20"/>
          <w:szCs w:val="20"/>
        </w:rPr>
      </w:pPr>
    </w:p>
    <w:p w:rsidR="008D42EF" w:rsidRPr="008D42EF" w:rsidP="006C7647">
      <w:pPr>
        <w:spacing w:after="0" w:line="240" w:lineRule="auto"/>
        <w:contextualSpacing/>
        <w:jc w:val="center"/>
        <w:rPr>
          <w:rFonts w:cs="Arial"/>
          <w:bCs/>
        </w:rPr>
      </w:pPr>
      <w:r>
        <w:rPr>
          <w:rFonts w:cs="Arial"/>
          <w:bCs/>
        </w:rPr>
        <w:t>Dana Center, Portland, Maine and/or online</w:t>
      </w:r>
      <w:r w:rsidRPr="008D42EF">
        <w:rPr>
          <w:rFonts w:cs="Arial"/>
          <w:bCs/>
        </w:rPr>
        <w:fldChar w:fldCharType="end"/>
      </w:r>
    </w:p>
    <w:p w:rsidR="00552F5E" w:rsidP="006C7647">
      <w:pPr>
        <w:spacing w:after="0" w:line="240" w:lineRule="auto"/>
        <w:contextualSpacing/>
        <w:rPr>
          <w:rFonts w:ascii="Arial" w:hAnsi="Arial" w:cs="Arial"/>
          <w:b/>
          <w:sz w:val="24"/>
          <w:szCs w:val="24"/>
        </w:rPr>
      </w:pPr>
    </w:p>
    <w:p w:rsidR="00A57FC9" w:rsidP="006C7647">
      <w:pPr>
        <w:spacing w:after="0" w:line="240" w:lineRule="auto"/>
        <w:contextualSpacing/>
        <w:rPr>
          <w:rFonts w:ascii="Arial" w:hAnsi="Arial" w:cs="Arial"/>
          <w:b/>
          <w:sz w:val="24"/>
          <w:szCs w:val="24"/>
        </w:rPr>
      </w:pPr>
    </w:p>
    <w:p w:rsidR="00552F5E" w:rsidP="006C7647">
      <w:pPr>
        <w:spacing w:after="0" w:line="240" w:lineRule="auto"/>
        <w:contextualSpacing/>
        <w:rPr>
          <w:rFonts w:ascii="Arial" w:hAnsi="Arial" w:cs="Arial"/>
          <w:b/>
          <w:sz w:val="28"/>
          <w:szCs w:val="28"/>
        </w:rPr>
      </w:pPr>
      <w:r w:rsidRPr="00BB5386">
        <w:rPr>
          <w:rFonts w:ascii="Arial" w:hAnsi="Arial" w:cs="Arial"/>
          <w:b/>
          <w:sz w:val="28"/>
          <w:szCs w:val="28"/>
        </w:rPr>
        <w:t>Goals or Objectives</w:t>
      </w:r>
      <w:r w:rsidRPr="00BB5386" w:rsidR="00993B4D">
        <w:rPr>
          <w:rFonts w:ascii="Arial" w:hAnsi="Arial" w:cs="Arial"/>
          <w:b/>
          <w:sz w:val="28"/>
          <w:szCs w:val="28"/>
        </w:rPr>
        <w:t>:</w:t>
      </w:r>
    </w:p>
    <w:p w:rsidR="00993B4D" w:rsidP="006C7647">
      <w:pPr>
        <w:spacing w:after="0" w:line="240" w:lineRule="auto"/>
        <w:contextualSpacing/>
        <w:rPr>
          <w:rFonts w:ascii="Arial" w:hAnsi="Arial" w:cs="Arial"/>
          <w:noProof/>
          <w:sz w:val="28"/>
          <w:szCs w:val="28"/>
        </w:rPr>
      </w:pPr>
      <w:r w:rsidR="00875345">
        <w:rPr>
          <w:rFonts w:ascii="Arial" w:hAnsi="Arial" w:cs="Arial"/>
          <w:noProof/>
          <w:sz w:val="28"/>
          <w:szCs w:val="28"/>
        </w:rPr>
        <w:t>1 Discuss</w:t>
      </w:r>
      <w:r w:rsidRPr="00BB5386">
        <w:rPr>
          <w:rFonts w:ascii="Arial" w:hAnsi="Arial" w:cs="Arial"/>
          <w:sz w:val="28"/>
          <w:szCs w:val="28"/>
        </w:rPr>
        <w:t xml:space="preserve"> new evidence regarding diagnosis and treatment of pediatric diseases.</w:t>
      </w:r>
    </w:p>
    <w:p w:rsidRPr="00BB5386" w:rsidP="006C7647">
      <w:pPr>
        <w:spacing w:after="0" w:line="240" w:lineRule="auto"/>
        <w:contextualSpacing/>
        <w:rPr>
          <w:rFonts w:ascii="Arial" w:hAnsi="Arial" w:cs="Arial"/>
          <w:sz w:val="28"/>
          <w:szCs w:val="28"/>
        </w:rPr>
      </w:pPr>
      <w:r w:rsidRPr="00BB5386">
        <w:rPr>
          <w:rFonts w:ascii="Arial" w:hAnsi="Arial" w:cs="Arial"/>
          <w:sz w:val="28"/>
          <w:szCs w:val="28"/>
        </w:rPr>
        <w:t>2 Describe the importance of public health initiatives and funding for Pediatric health priorities</w:t>
      </w:r>
    </w:p>
    <w:p w:rsidRPr="00BB5386" w:rsidP="006C7647">
      <w:pPr>
        <w:spacing w:after="0" w:line="240" w:lineRule="auto"/>
        <w:contextualSpacing/>
        <w:rPr>
          <w:rFonts w:ascii="Arial" w:hAnsi="Arial" w:cs="Arial"/>
          <w:sz w:val="28"/>
          <w:szCs w:val="28"/>
        </w:rPr>
      </w:pPr>
      <w:r w:rsidRPr="00BB5386">
        <w:rPr>
          <w:rFonts w:ascii="Arial" w:hAnsi="Arial" w:cs="Arial"/>
          <w:sz w:val="28"/>
          <w:szCs w:val="28"/>
        </w:rPr>
        <w:t>3 Discuss socio-cultural and economic factors impacting the health of children nationally and internationally.</w:t>
      </w:r>
    </w:p>
    <w:p w:rsidR="00993B4D" w:rsidP="006C7647">
      <w:pPr>
        <w:spacing w:after="0" w:line="240" w:lineRule="auto"/>
        <w:contextualSpacing/>
        <w:rPr>
          <w:rFonts w:ascii="Arial" w:hAnsi="Arial" w:cs="Arial"/>
          <w:noProof/>
          <w:sz w:val="28"/>
          <w:szCs w:val="28"/>
        </w:rPr>
      </w:pPr>
      <w:r w:rsidRPr="00BB5386">
        <w:rPr>
          <w:rFonts w:ascii="Arial" w:hAnsi="Arial" w:cs="Arial"/>
          <w:sz w:val="28"/>
          <w:szCs w:val="28"/>
        </w:rPr>
        <w:t>4 Discuss best practices for Pediatric Medical Education.</w:t>
      </w:r>
    </w:p>
    <w:p w:rsidR="00552F5E" w:rsidP="006C7647">
      <w:pPr>
        <w:spacing w:after="0" w:line="240" w:lineRule="auto"/>
        <w:contextualSpacing/>
        <w:rPr>
          <w:rFonts w:ascii="Arial" w:hAnsi="Arial" w:cs="Arial"/>
          <w:color w:val="000000" w:themeColor="text1"/>
          <w:sz w:val="20"/>
          <w:szCs w:val="20"/>
        </w:rPr>
      </w:pPr>
    </w:p>
    <w:p w:rsidR="002A779F" w:rsidRPr="00386F24" w:rsidP="006C7647">
      <w:pPr>
        <w:spacing w:after="0" w:line="240" w:lineRule="auto"/>
        <w:contextualSpacing/>
        <w:rPr>
          <w:rFonts w:ascii="Arial" w:hAnsi="Arial" w:cs="Arial"/>
          <w:color w:val="000000" w:themeColor="text1"/>
          <w:sz w:val="20"/>
          <w:szCs w:val="20"/>
        </w:rPr>
      </w:pPr>
    </w:p>
    <w:p w:rsidR="002A779F" w:rsidRPr="002A779F" w:rsidP="006C7647">
      <w:pPr>
        <w:spacing w:after="0" w:line="240" w:lineRule="auto"/>
        <w:contextualSpacing/>
        <w:rPr>
          <w:rFonts w:ascii="Arial" w:hAnsi="Arial" w:cs="Arial"/>
          <w:bCs/>
          <w:sz w:val="24"/>
          <w:szCs w:val="24"/>
        </w:rPr>
      </w:pPr>
      <w:r>
        <w:rPr>
          <w:rFonts w:ascii="Arial" w:hAnsi="Arial" w:cs="Arial"/>
          <w:b/>
          <w:sz w:val="24"/>
          <w:szCs w:val="24"/>
        </w:rPr>
        <w:t>Accreditation:</w:t>
      </w:r>
    </w:p>
    <w:p w:rsidR="002A779F" w:rsidP="006C7647">
      <w:pPr>
        <w:spacing w:after="0" w:line="240" w:lineRule="auto"/>
        <w:contextualSpacing/>
        <w:rPr>
          <w:rFonts w:ascii="Arial" w:hAnsi="Arial" w:cs="Arial"/>
          <w:bCs/>
          <w:sz w:val="20"/>
          <w:szCs w:val="20"/>
        </w:rPr>
      </w:pPr>
    </w:p>
    <w:tbl>
      <w:tblPr>
        <w:tblStyle w:val="TableGrid1"/>
        <w:tblW w:w="0" w:type="auto"/>
        <w:tblBorders>
          <w:top w:val="nil"/>
          <w:left w:val="nil"/>
          <w:bottom w:val="nil"/>
          <w:right w:val="nil"/>
          <w:insideH w:val="nil"/>
          <w:insideV w:val="nil"/>
        </w:tblBorders>
        <w:tblLook w:val="04A0"/>
      </w:tblPr>
      <w:tblGrid>
        <w:gridCol w:w="2514"/>
        <w:gridCol w:w="7710"/>
      </w:tblGrid>
      <w:tr w:rsidTr="75606142">
        <w:tblPrEx>
          <w:tblW w:w="0" w:type="auto"/>
          <w:tblBorders>
            <w:top w:val="nil"/>
            <w:left w:val="nil"/>
            <w:bottom w:val="nil"/>
            <w:right w:val="nil"/>
            <w:insideH w:val="nil"/>
            <w:insideV w:val="nil"/>
          </w:tblBorders>
          <w:tblLook w:val="04A0"/>
        </w:tblPrEx>
        <w:tc>
          <w:tcPr>
            <w:tcW w:w="2515" w:type="dxa"/>
          </w:tcPr>
          <w:p w:rsidR="002A779F" w:rsidRPr="002A779F" w:rsidP="002A779F">
            <w:pPr>
              <w:spacing w:after="0" w:line="240" w:lineRule="auto"/>
              <w:contextualSpacing/>
              <w:rPr>
                <w:rFonts w:ascii="Arial" w:eastAsia="Times New Roman" w:hAnsi="Arial" w:cs="Arial"/>
                <w:szCs w:val="20"/>
              </w:rPr>
            </w:pPr>
            <w:r w:rsidRPr="002A779F">
              <w:rPr>
                <w:rFonts w:ascii="Arial" w:eastAsia="Times New Roman" w:hAnsi="Arial" w:cs="Arial"/>
                <w:noProof/>
                <w:sz w:val="20"/>
                <w:szCs w:val="20"/>
              </w:rPr>
              <w:drawing>
                <wp:inline distT="0" distB="0" distL="0" distR="0">
                  <wp:extent cx="1453515" cy="998855"/>
                  <wp:effectExtent l="0" t="0" r="0" b="0"/>
                  <wp:docPr id="6" name="Picture 6"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medium confidence"/>
                          <pic:cNvPicPr/>
                        </pic:nvPicPr>
                        <pic:blipFill>
                          <a:blip xmlns:r="http://schemas.openxmlformats.org/officeDocument/2006/relationships" r:embed="rId5"/>
                          <a:stretch>
                            <a:fillRect/>
                          </a:stretch>
                        </pic:blipFill>
                        <pic:spPr>
                          <a:xfrm>
                            <a:off x="0" y="0"/>
                            <a:ext cx="1453515" cy="998855"/>
                          </a:xfrm>
                          <a:prstGeom prst="rect">
                            <a:avLst/>
                          </a:prstGeom>
                        </pic:spPr>
                      </pic:pic>
                    </a:graphicData>
                  </a:graphic>
                </wp:inline>
              </w:drawing>
            </w:r>
          </w:p>
        </w:tc>
        <w:tc>
          <w:tcPr>
            <w:tcW w:w="8275" w:type="dxa"/>
          </w:tcPr>
          <w:p w:rsidR="002A779F" w:rsidRPr="002A779F" w:rsidP="75606142">
            <w:pPr>
              <w:spacing w:after="0" w:line="240" w:lineRule="auto"/>
              <w:ind w:left="-22"/>
              <w:contextualSpacing/>
              <w:rPr>
                <w:rFonts w:ascii="Arial" w:eastAsia="Arial" w:hAnsi="Arial" w:cs="Arial"/>
                <w:sz w:val="18"/>
                <w:szCs w:val="18"/>
              </w:rPr>
            </w:pPr>
            <w:r w:rsidRPr="75606142">
              <w:rPr>
                <w:rFonts w:ascii="Hind" w:eastAsia="Hind" w:hAnsi="Hind" w:cs="Hind"/>
                <w:color w:val="212529"/>
                <w:sz w:val="18"/>
                <w:szCs w:val="18"/>
              </w:rPr>
              <w:t>In support of improving patient care, MaineHealth is jointly accredited by the Accreditation Council for Continuing Medical Education (ACCME), the Accreditation Council for Pharmacy Education (ACPE), and the American Nurses Credentialing Center (ANCC), to provide continuing education for the healthcare team. MaineHealth is also approved to accredit continuing education activities with the following credit types: Interprofessional Continuing Education (IPCE), Association of Social Work Boards (ASWB), American Academy of Physician Assistants (AAPA), American Psychological Association (APA), Registered Dietitians (RDs) and Dietetic Technicians, Registered (DTRs).</w:t>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8548"/>
        <w:gridCol w:w="1676"/>
      </w:tblGrid>
      <w:tr w:rsidTr="00E74D6A">
        <w:tblPrEx>
          <w:tblW w:w="0" w:type="auto"/>
          <w:tblBorders>
            <w:top w:val="nil"/>
            <w:left w:val="nil"/>
            <w:bottom w:val="nil"/>
            <w:right w:val="nil"/>
            <w:insideH w:val="nil"/>
            <w:insideV w:val="nil"/>
          </w:tblBorders>
          <w:tblLook w:val="04A0"/>
        </w:tblPrEx>
        <w:tc>
          <w:tcPr>
            <w:tcW w:w="9625" w:type="dxa"/>
          </w:tcPr>
          <w:p w:rsidR="002A779F" w:rsidRPr="002A779F" w:rsidP="002A779F">
            <w:pPr>
              <w:spacing w:after="0" w:line="240" w:lineRule="auto"/>
              <w:ind w:right="-84"/>
              <w:contextualSpacing/>
              <w:rPr>
                <w:rFonts w:ascii="Arial" w:eastAsia="Times New Roman" w:hAnsi="Arial" w:cs="Arial"/>
                <w:sz w:val="18"/>
                <w:szCs w:val="18"/>
              </w:rPr>
            </w:pPr>
            <w:r w:rsidRPr="002A779F">
              <w:rPr>
                <w:rFonts w:ascii="Arial" w:eastAsia="Times New Roman" w:hAnsi="Arial" w:cs="Arial"/>
                <w:sz w:val="18"/>
                <w:szCs w:val="18"/>
              </w:rPr>
              <w:instrText xml:space="preserve">This activity was planned by and for the healthcare team, and learners will receive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IPCEHours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Interprofessional Continuing Education (IPCE) credits for learning and change.</w:instrText>
            </w:r>
          </w:p>
        </w:tc>
        <w:tc>
          <w:tcPr>
            <w:tcW w:w="116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Cs w:val="20"/>
              </w:rPr>
              <w:drawing>
                <wp:inline distT="0" distB="0" distL="0" distR="0">
                  <wp:extent cx="927100" cy="662305"/>
                  <wp:effectExtent l="0" t="0" r="0" b="0"/>
                  <wp:docPr id="12" name="Picture 12"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PCE CREDIT TM"/>
                          <pic:cNvPicPr/>
                        </pic:nvPicPr>
                        <pic:blipFill>
                          <a:blip xmlns:r="http://schemas.openxmlformats.org/officeDocument/2006/relationships" r:embed="rId6"/>
                          <a:stretch>
                            <a:fillRect/>
                          </a:stretch>
                        </pic:blipFill>
                        <pic:spPr>
                          <a:xfrm>
                            <a:off x="0" y="0"/>
                            <a:ext cx="927100" cy="662305"/>
                          </a:xfrm>
                          <a:prstGeom prst="rect">
                            <a:avLst/>
                          </a:prstGeom>
                        </pic:spPr>
                      </pic:pic>
                    </a:graphicData>
                  </a:graphic>
                </wp:inline>
              </w:drawing>
            </w:r>
          </w:p>
        </w:tc>
      </w:tr>
    </w:tbl>
    <w:p w:rsidR="002A779F" w:rsidRPr="002A779F" w:rsidP="002A779F">
      <w:pPr>
        <w:spacing w:after="0" w:line="240" w:lineRule="auto"/>
        <w:contextualSpacing/>
        <w:rPr>
          <w:rFonts w:ascii="Times New Roman" w:eastAsia="Times New Roman" w:hAnsi="Times New Roman" w:cs="Times New Roman"/>
          <w:sz w:val="20"/>
          <w:szCs w:val="20"/>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p>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0" w:type="auto"/>
        <w:tblBorders>
          <w:top w:val="nil"/>
          <w:left w:val="nil"/>
          <w:bottom w:val="nil"/>
          <w:right w:val="nil"/>
          <w:insideH w:val="nil"/>
          <w:insideV w:val="nil"/>
        </w:tblBorders>
        <w:tblLook w:val="04A0"/>
      </w:tblPr>
      <w:tblGrid>
        <w:gridCol w:w="7886"/>
        <w:gridCol w:w="2338"/>
      </w:tblGrid>
      <w:tr w:rsidTr="00E74D6A">
        <w:tblPrEx>
          <w:tblW w:w="0" w:type="auto"/>
          <w:tblBorders>
            <w:top w:val="nil"/>
            <w:left w:val="nil"/>
            <w:bottom w:val="nil"/>
            <w:right w:val="nil"/>
            <w:insideH w:val="nil"/>
            <w:insideV w:val="nil"/>
          </w:tblBorders>
          <w:tblLook w:val="04A0"/>
        </w:tblPrEx>
        <w:tc>
          <w:tcPr>
            <w:tcW w:w="9175" w:type="dxa"/>
          </w:tcPr>
          <w:p w:rsidR="002A779F" w:rsidRPr="002A779F" w:rsidP="002A779F">
            <w:pPr>
              <w:spacing w:after="0" w:line="240" w:lineRule="auto"/>
              <w:ind w:right="-25"/>
              <w:contextualSpacing/>
              <w:rPr>
                <w:rFonts w:ascii="Arial" w:eastAsia="Times New Roman" w:hAnsi="Arial" w:cs="Arial"/>
                <w:sz w:val="18"/>
                <w:szCs w:val="18"/>
              </w:rPr>
            </w:pPr>
            <w:r w:rsidRPr="002A779F">
              <w:rPr>
                <w:rFonts w:ascii="Arial" w:eastAsia="Times New Roman" w:hAnsi="Arial" w:cs="Arial"/>
                <w:sz w:val="18"/>
                <w:szCs w:val="18"/>
              </w:rPr>
              <w:instrText xml:space="preserve">As a Jointly Accredited Organization, MaineHealth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MaineHealth maintains responsibility for this course. Social workers completing this course receive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ASWBHours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continuing education credit(s).</w:instrText>
            </w:r>
          </w:p>
        </w:tc>
        <w:tc>
          <w:tcPr>
            <w:tcW w:w="1615"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347470" cy="509905"/>
                  <wp:effectExtent l="0" t="0" r="0" b="0"/>
                  <wp:docPr id="15" name="Picture 15" descr="ASWB&#10;ACE&#10;approved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SWB&#10;ACE&#10;approved continuing education"/>
                          <pic:cNvPicPr/>
                        </pic:nvPicPr>
                        <pic:blipFill>
                          <a:blip xmlns:r="http://schemas.openxmlformats.org/officeDocument/2006/relationships" r:embed="rId7"/>
                          <a:stretch>
                            <a:fillRect/>
                          </a:stretch>
                        </pic:blipFill>
                        <pic:spPr>
                          <a:xfrm>
                            <a:off x="0" y="0"/>
                            <a:ext cx="1347470" cy="509905"/>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instrText>0</w:instrText>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730"/>
        <w:gridCol w:w="1530"/>
      </w:tblGrid>
      <w:tr w:rsidTr="00A43AB2">
        <w:tblPrEx>
          <w:tblW w:w="10260" w:type="dxa"/>
          <w:tblBorders>
            <w:top w:val="nil"/>
            <w:left w:val="nil"/>
            <w:bottom w:val="nil"/>
            <w:right w:val="nil"/>
            <w:insideH w:val="nil"/>
            <w:insideV w:val="nil"/>
          </w:tblBorders>
          <w:tblLook w:val="04A0"/>
        </w:tblPrEx>
        <w:tc>
          <w:tcPr>
            <w:tcW w:w="8730" w:type="dxa"/>
          </w:tcPr>
          <w:p w:rsidR="002A779F" w:rsidRPr="002A779F" w:rsidP="002A779F">
            <w:pPr>
              <w:spacing w:after="0" w:line="240" w:lineRule="auto"/>
              <w:ind w:right="-20"/>
              <w:contextualSpacing/>
              <w:rPr>
                <w:rFonts w:ascii="Arial" w:eastAsia="Times New Roman" w:hAnsi="Arial" w:cs="Arial"/>
                <w:sz w:val="18"/>
                <w:szCs w:val="18"/>
              </w:rPr>
            </w:pPr>
            <w:r w:rsidRPr="002A779F">
              <w:rPr>
                <w:rFonts w:ascii="Arial" w:eastAsia="Times New Roman" w:hAnsi="Arial" w:cs="Arial"/>
                <w:sz w:val="18"/>
                <w:szCs w:val="18"/>
              </w:rPr>
              <w:instrText xml:space="preserve">MaineHealth has been authorized by the American Academy of PAs (AAPA) to award AAPA Category 1 CME credit for activities planned in accordance with AAPA CME Criteria. This activity is designated for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AAPALiveHours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AAPAEndHours</w:instrText>
            </w:r>
            <w:r>
              <w:rPr>
                <w:rFonts w:ascii="Arial" w:eastAsia="Times New Roman" w:hAnsi="Arial" w:cs="Arial"/>
                <w:sz w:val="18"/>
                <w:szCs w:val="18"/>
              </w:rPr>
              <w:instrText>Max</w:instrText>
            </w:r>
            <w:r w:rsidRPr="002A779F">
              <w:rPr>
                <w:rFonts w:ascii="Arial" w:eastAsia="Times New Roman" w:hAnsi="Arial" w:cs="Arial"/>
                <w:sz w:val="18"/>
                <w:szCs w:val="18"/>
              </w:rPr>
              <w:instrText xml:space="preserve">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0.00#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AAPA Category 1 CME credits.</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ActivityFormat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"Enduring Material" " Approval is valid until </w:instrText>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MERGEFIELD EndTime \@ "MM/dd/yyyy"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instrText xml:space="preserve"> PAs should only claim credit commensurate with the extent of their participation.</w:instrText>
            </w:r>
          </w:p>
        </w:tc>
        <w:tc>
          <w:tcPr>
            <w:tcW w:w="1530"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795528" cy="795528"/>
                  <wp:effectExtent l="0" t="0" r="5080" b="5080"/>
                  <wp:docPr id="17" name="Picture 17" descr="PA&#10;AAPA CATEGORY 1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A&#10;AAPA CATEGORY 1 CME"/>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795528" cy="795528"/>
                          </a:xfrm>
                          <a:prstGeom prst="rect">
                            <a:avLst/>
                          </a:prstGeom>
                        </pic:spPr>
                      </pic:pic>
                    </a:graphicData>
                  </a:graphic>
                </wp:inline>
              </w:drawing>
            </w:r>
          </w:p>
        </w:tc>
      </w:tr>
    </w:tbl>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sidRPr="002A779F">
        <w:rPr>
          <w:rFonts w:ascii="Arial" w:eastAsia="Times New Roman" w:hAnsi="Arial" w:cs="Arial"/>
          <w:sz w:val="18"/>
          <w:szCs w:val="18"/>
        </w:rPr>
        <w:fldChar w:fldCharType="begin"/>
      </w:r>
      <w:r w:rsidRPr="002A779F">
        <w:rPr>
          <w:rFonts w:ascii="Arial" w:eastAsia="Times New Roman" w:hAnsi="Arial" w:cs="Arial"/>
          <w:sz w:val="18"/>
          <w:szCs w:val="18"/>
        </w:rPr>
        <w:instrText xml:space="preserve"> IF </w:instrText>
      </w:r>
      <w:r w:rsidRPr="002A779F">
        <w:rPr>
          <w:rFonts w:ascii="Arial" w:eastAsia="Times New Roman" w:hAnsi="Arial" w:cs="Arial"/>
          <w:sz w:val="18"/>
          <w:szCs w:val="18"/>
        </w:rPr>
        <w:instrText>0.00</w:instrText>
      </w:r>
      <w:r w:rsidRPr="002A779F">
        <w:rPr>
          <w:rFonts w:ascii="Arial" w:eastAsia="Times New Roman" w:hAnsi="Arial" w:cs="Arial"/>
          <w:sz w:val="18"/>
          <w:szCs w:val="18"/>
        </w:rPr>
        <w:instrText xml:space="preserve"> &gt; 0 "</w:instrText>
      </w:r>
    </w:p>
    <w:tbl>
      <w:tblPr>
        <w:tblStyle w:val="TableGrid1"/>
        <w:tblW w:w="10260" w:type="dxa"/>
        <w:tblBorders>
          <w:top w:val="nil"/>
          <w:left w:val="nil"/>
          <w:bottom w:val="nil"/>
          <w:right w:val="nil"/>
          <w:insideH w:val="nil"/>
          <w:insideV w:val="nil"/>
        </w:tblBorders>
        <w:tblLook w:val="04A0"/>
      </w:tblPr>
      <w:tblGrid>
        <w:gridCol w:w="8284"/>
        <w:gridCol w:w="1976"/>
      </w:tblGrid>
      <w:tr w:rsidTr="00A43AB2">
        <w:tblPrEx>
          <w:tblW w:w="10260" w:type="dxa"/>
          <w:tblBorders>
            <w:top w:val="nil"/>
            <w:left w:val="nil"/>
            <w:bottom w:val="nil"/>
            <w:right w:val="nil"/>
            <w:insideH w:val="nil"/>
            <w:insideV w:val="nil"/>
          </w:tblBorders>
          <w:tblLook w:val="04A0"/>
        </w:tblPrEx>
        <w:tc>
          <w:tcPr>
            <w:tcW w:w="8814" w:type="dxa"/>
          </w:tcPr>
          <w:p w:rsidR="002A779F" w:rsidRPr="002A779F" w:rsidP="002A779F">
            <w:pPr>
              <w:spacing w:after="0" w:line="240" w:lineRule="auto"/>
              <w:ind w:right="-19"/>
              <w:contextualSpacing/>
              <w:rPr>
                <w:rFonts w:ascii="Arial" w:eastAsia="Times New Roman" w:hAnsi="Arial" w:cs="Arial"/>
                <w:sz w:val="18"/>
                <w:szCs w:val="18"/>
              </w:rPr>
            </w:pPr>
            <w:r w:rsidRPr="002A779F">
              <w:rPr>
                <w:rFonts w:ascii="Arial" w:eastAsia="Times New Roman" w:hAnsi="Arial" w:cs="Arial"/>
                <w:sz w:val="18"/>
                <w:szCs w:val="18"/>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p>
        </w:tc>
        <w:tc>
          <w:tcPr>
            <w:tcW w:w="1446" w:type="dxa"/>
          </w:tcPr>
          <w:p w:rsidR="002A779F" w:rsidRPr="002A779F" w:rsidP="002A779F">
            <w:pPr>
              <w:spacing w:after="0" w:line="240" w:lineRule="auto"/>
              <w:contextualSpacing/>
              <w:rPr>
                <w:rFonts w:ascii="Arial" w:eastAsia="Times New Roman" w:hAnsi="Arial" w:cs="Arial"/>
                <w:sz w:val="18"/>
                <w:szCs w:val="18"/>
              </w:rPr>
            </w:pPr>
            <w:r w:rsidRPr="002A779F">
              <w:rPr>
                <w:rFonts w:ascii="Arial" w:eastAsia="Times New Roman" w:hAnsi="Arial" w:cs="Arial"/>
                <w:noProof/>
                <w:sz w:val="18"/>
                <w:szCs w:val="18"/>
              </w:rPr>
              <w:drawing>
                <wp:inline distT="0" distB="0" distL="0" distR="0">
                  <wp:extent cx="1113155" cy="419100"/>
                  <wp:effectExtent l="0" t="0" r="4445" b="0"/>
                  <wp:docPr id="19" name="Picture 1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xmlns:r="http://schemas.openxmlformats.org/officeDocument/2006/relationships" r:embed="rId9"/>
                          <a:stretch>
                            <a:fillRect/>
                          </a:stretch>
                        </pic:blipFill>
                        <pic:spPr>
                          <a:xfrm>
                            <a:off x="0" y="0"/>
                            <a:ext cx="1113155" cy="419100"/>
                          </a:xfrm>
                          <a:prstGeom prst="rect">
                            <a:avLst/>
                          </a:prstGeom>
                        </pic:spPr>
                      </pic:pic>
                    </a:graphicData>
                  </a:graphic>
                </wp:inline>
              </w:drawing>
            </w:r>
          </w:p>
        </w:tc>
      </w:tr>
    </w:tbl>
    <w:p w:rsidR="00820EAE" w:rsidP="002A779F">
      <w:pPr>
        <w:spacing w:after="0" w:line="240" w:lineRule="auto"/>
        <w:contextualSpacing/>
        <w:rPr>
          <w:rFonts w:ascii="Arial" w:eastAsia="Times New Roman" w:hAnsi="Arial" w:cs="Arial"/>
          <w:sz w:val="18"/>
          <w:szCs w:val="18"/>
        </w:rPr>
      </w:pPr>
      <w:r w:rsidRPr="002A779F">
        <w:rPr>
          <w:rFonts w:ascii="Arial" w:eastAsia="Times New Roman" w:hAnsi="Arial" w:cs="Arial"/>
          <w:sz w:val="18"/>
          <w:szCs w:val="18"/>
        </w:rPr>
        <w:instrText xml:space="preserve">" "" </w:instrText>
      </w:r>
      <w:r w:rsidRPr="002A779F">
        <w:rPr>
          <w:rFonts w:ascii="Arial" w:eastAsia="Times New Roman" w:hAnsi="Arial" w:cs="Arial"/>
          <w:sz w:val="18"/>
          <w:szCs w:val="18"/>
        </w:rPr>
        <w:fldChar w:fldCharType="separate"/>
      </w:r>
      <w:r w:rsidRPr="002A779F">
        <w:rPr>
          <w:rFonts w:ascii="Arial" w:eastAsia="Times New Roman" w:hAnsi="Arial" w:cs="Arial"/>
          <w:sz w:val="18"/>
          <w:szCs w:val="18"/>
        </w:rPr>
        <w:fldChar w:fldCharType="end"/>
      </w:r>
      <w:r>
        <w:rPr>
          <w:rFonts w:ascii="Arial" w:eastAsia="Times New Roman" w:hAnsi="Arial" w:cs="Arial"/>
          <w:sz w:val="18"/>
          <w:szCs w:val="18"/>
        </w:rPr>
        <w:fldChar w:fldCharType="begin"/>
      </w:r>
      <w:r>
        <w:rPr>
          <w:rFonts w:ascii="Arial" w:eastAsia="Times New Roman" w:hAnsi="Arial" w:cs="Arial"/>
          <w:sz w:val="18"/>
          <w:szCs w:val="18"/>
        </w:rPr>
        <w:instrText xml:space="preserve"> IF </w:instrText>
      </w:r>
      <w:r>
        <w:rPr>
          <w:rFonts w:ascii="Arial" w:eastAsia="Times New Roman" w:hAnsi="Arial" w:cs="Arial"/>
          <w:sz w:val="18"/>
          <w:szCs w:val="18"/>
        </w:rPr>
        <w:instrText>0.00</w:instrText>
      </w:r>
      <w:r>
        <w:rPr>
          <w:rFonts w:ascii="Arial" w:eastAsia="Times New Roman" w:hAnsi="Arial" w:cs="Arial"/>
          <w:sz w:val="18"/>
          <w:szCs w:val="18"/>
        </w:rPr>
        <w:instrText xml:space="preserve"> &gt; 0 "</w:instrText>
      </w:r>
    </w:p>
    <w:p w:rsidR="002A779F" w:rsidRPr="002A779F" w:rsidP="002A779F">
      <w:pPr>
        <w:spacing w:after="0" w:line="240" w:lineRule="auto"/>
        <w:contextualSpacing/>
        <w:rPr>
          <w:rFonts w:ascii="Arial" w:eastAsia="Times New Roman" w:hAnsi="Arial" w:cs="Arial"/>
          <w:sz w:val="18"/>
          <w:szCs w:val="18"/>
        </w:rPr>
      </w:pPr>
      <w:r>
        <w:rPr>
          <w:rFonts w:ascii="Arial" w:eastAsia="Times New Roman" w:hAnsi="Arial" w:cs="Arial"/>
          <w:noProof/>
          <w:sz w:val="18"/>
          <w:szCs w:val="18"/>
        </w:rPr>
        <w:drawing>
          <wp:inline distT="0" distB="0" distL="0" distR="0">
            <wp:extent cx="6439897" cy="78434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6640257" cy="808749"/>
                    </a:xfrm>
                    <a:prstGeom prst="rect">
                      <a:avLst/>
                    </a:prstGeom>
                  </pic:spPr>
                </pic:pic>
              </a:graphicData>
            </a:graphic>
          </wp:inline>
        </w:drawing>
      </w:r>
      <w:r>
        <w:rPr>
          <w:rFonts w:ascii="Arial" w:eastAsia="Times New Roman" w:hAnsi="Arial" w:cs="Arial"/>
          <w:sz w:val="18"/>
          <w:szCs w:val="18"/>
        </w:rPr>
        <w:instrText xml:space="preserve">" "" </w:instrText>
      </w:r>
      <w:r>
        <w:rPr>
          <w:rFonts w:ascii="Arial" w:eastAsia="Times New Roman" w:hAnsi="Arial" w:cs="Arial"/>
          <w:sz w:val="18"/>
          <w:szCs w:val="18"/>
        </w:rPr>
        <w:fldChar w:fldCharType="separate"/>
      </w:r>
      <w:r>
        <w:rPr>
          <w:rFonts w:ascii="Arial" w:eastAsia="Times New Roman" w:hAnsi="Arial" w:cs="Arial"/>
          <w:sz w:val="18"/>
          <w:szCs w:val="18"/>
        </w:rPr>
        <w:fldChar w:fldCharType="end"/>
      </w:r>
    </w:p>
    <w:p w:rsidR="00386F24" w:rsidRPr="00386F24" w:rsidP="006C7647">
      <w:pPr>
        <w:spacing w:after="0" w:line="240" w:lineRule="auto"/>
        <w:contextualSpacing/>
        <w:rPr>
          <w:rFonts w:ascii="Arial" w:hAnsi="Arial" w:cs="Arial"/>
          <w:sz w:val="20"/>
          <w:szCs w:val="20"/>
        </w:rPr>
      </w:pPr>
    </w:p>
    <w:p w:rsidR="00DD5660" w:rsidP="00DD5660">
      <w:pPr>
        <w:contextualSpacing/>
        <w:rPr>
          <w:rFonts w:ascii="Arial" w:hAnsi="Arial" w:cs="Arial"/>
          <w:sz w:val="24"/>
          <w:szCs w:val="24"/>
        </w:rPr>
      </w:pPr>
      <w:r>
        <w:rPr>
          <w:rFonts w:ascii="Arial" w:hAnsi="Arial" w:cs="Arial"/>
          <w:b/>
          <w:sz w:val="24"/>
          <w:szCs w:val="24"/>
        </w:rPr>
        <w:t xml:space="preserve">Credit Designation: </w:t>
      </w:r>
      <w:r w:rsidRPr="009D238E" w:rsidR="00BB5386">
        <w:rPr>
          <w:rFonts w:ascii="Arial" w:hAnsi="Arial" w:cs="Arial"/>
          <w:sz w:val="24"/>
          <w:szCs w:val="24"/>
        </w:rPr>
        <w:t xml:space="preserve">Maine Medical Center </w:t>
      </w:r>
      <w:r w:rsidRPr="009D238E" w:rsidR="00993B4D">
        <w:rPr>
          <w:rFonts w:ascii="Arial" w:hAnsi="Arial" w:cs="Arial"/>
          <w:sz w:val="24"/>
          <w:szCs w:val="24"/>
        </w:rPr>
        <w:t>designates this educational activity for a maximum of</w:t>
      </w:r>
      <w:r w:rsidR="009D238E">
        <w:rPr>
          <w:rFonts w:ascii="Arial" w:hAnsi="Arial" w:cs="Arial"/>
          <w:sz w:val="24"/>
          <w:szCs w:val="24"/>
        </w:rPr>
        <w:t>:</w:t>
      </w:r>
      <w:r w:rsidRPr="009D238E" w:rsidR="00A43AB2">
        <w:rPr>
          <w:rFonts w:ascii="Arial" w:hAnsi="Arial" w:cs="Arial"/>
          <w:sz w:val="24"/>
          <w:szCs w:val="24"/>
        </w:rPr>
        <w:t xml:space="preserve"> </w:t>
      </w:r>
      <w:r w:rsidRPr="00A43AB2" w:rsidR="00A43AB2">
        <w:rPr>
          <w:rFonts w:ascii="Arial" w:eastAsia="Times New Roman" w:hAnsi="Arial" w:cs="Arial"/>
          <w:sz w:val="24"/>
          <w:szCs w:val="21"/>
        </w:rPr>
        <w:fldChar w:fldCharType="begin"/>
      </w:r>
      <w:r w:rsidRPr="009D238E" w:rsidR="00A43AB2">
        <w:rPr>
          <w:rFonts w:ascii="Arial" w:eastAsia="Times New Roman" w:hAnsi="Arial" w:cs="Arial"/>
          <w:sz w:val="24"/>
          <w:szCs w:val="21"/>
        </w:rPr>
        <w:instrText xml:space="preserve"> IF </w:instrText>
      </w:r>
      <w:r w:rsidRPr="009D238E" w:rsidR="00A43AB2">
        <w:rPr>
          <w:rFonts w:ascii="Arial" w:eastAsia="Times New Roman" w:hAnsi="Arial" w:cs="Arial"/>
          <w:sz w:val="24"/>
          <w:szCs w:val="21"/>
        </w:rPr>
        <w:instrText>0.00</w:instrText>
      </w:r>
      <w:r w:rsidRPr="009D238E" w:rsidR="00A43AB2">
        <w:rPr>
          <w:rFonts w:ascii="Arial" w:eastAsia="Times New Roman" w:hAnsi="Arial" w:cs="Arial"/>
          <w:sz w:val="24"/>
          <w:szCs w:val="21"/>
        </w:rPr>
        <w:instrText xml:space="preserve"> &gt; 0 "</w:instrText>
      </w:r>
      <w:r w:rsidR="009D238E">
        <w:rPr>
          <w:rFonts w:ascii="Arial" w:eastAsia="Times New Roman" w:hAnsi="Arial" w:cs="Arial"/>
          <w:sz w:val="24"/>
          <w:szCs w:val="21"/>
        </w:rPr>
        <w:fldChar w:fldCharType="begin"/>
      </w:r>
      <w:r w:rsidR="009D238E">
        <w:rPr>
          <w:rFonts w:ascii="Arial" w:eastAsia="Times New Roman" w:hAnsi="Arial" w:cs="Arial"/>
          <w:sz w:val="24"/>
          <w:szCs w:val="21"/>
        </w:rPr>
        <w:instrText xml:space="preserve"> MERGEFIELD IPCEHoursMax \# 0.00# </w:instrText>
      </w:r>
      <w:r w:rsidR="009D238E">
        <w:rPr>
          <w:rFonts w:ascii="Arial" w:eastAsia="Times New Roman" w:hAnsi="Arial" w:cs="Arial"/>
          <w:sz w:val="24"/>
          <w:szCs w:val="21"/>
        </w:rPr>
        <w:fldChar w:fldCharType="separate"/>
      </w:r>
      <w:r w:rsidR="009D238E">
        <w:rPr>
          <w:rFonts w:ascii="Arial" w:eastAsia="Times New Roman" w:hAnsi="Arial" w:cs="Arial"/>
          <w:sz w:val="24"/>
          <w:szCs w:val="21"/>
        </w:rPr>
        <w:fldChar w:fldCharType="end"/>
      </w:r>
      <w:r w:rsidR="009D238E">
        <w:rPr>
          <w:rFonts w:ascii="Arial" w:eastAsia="Times New Roman" w:hAnsi="Arial" w:cs="Arial"/>
          <w:sz w:val="24"/>
          <w:szCs w:val="21"/>
        </w:rPr>
        <w:instrText xml:space="preserve"> </w:instrText>
      </w:r>
      <w:r w:rsidRPr="00A43AB2" w:rsidR="00A43AB2">
        <w:rPr>
          <w:rFonts w:ascii="Arial" w:eastAsia="Times New Roman" w:hAnsi="Arial" w:cs="Arial"/>
          <w:iCs/>
          <w:sz w:val="24"/>
          <w:szCs w:val="21"/>
        </w:rPr>
        <w:instrText>Interprofessional Continuing Education Credit</w:instrText>
      </w:r>
      <w:r w:rsidR="009D238E">
        <w:rPr>
          <w:rFonts w:ascii="Arial" w:eastAsia="Times New Roman" w:hAnsi="Arial" w:cs="Arial"/>
          <w:iCs/>
          <w:sz w:val="24"/>
          <w:szCs w:val="21"/>
        </w:rPr>
        <w:instrText>(s);</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1.00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instrText>1.00</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i/>
          <w:iCs/>
          <w:sz w:val="24"/>
          <w:szCs w:val="21"/>
        </w:rPr>
        <w:instrText>AMA PRA Category 1 Credit(s)</w:instrText>
      </w:r>
      <w:r w:rsidRPr="00A43AB2" w:rsidR="00A43AB2">
        <w:rPr>
          <w:rFonts w:ascii="Arial" w:eastAsia="Times New Roman" w:hAnsi="Arial" w:cs="Arial"/>
          <w:iCs/>
          <w:sz w:val="24"/>
          <w:szCs w:val="21"/>
        </w:rPr>
        <w:instrText>™</w:instrText>
      </w:r>
      <w:r w:rsidR="00154A54">
        <w:rPr>
          <w:rFonts w:ascii="Arial" w:eastAsia="Times New Roman" w:hAnsi="Arial" w:cs="Arial"/>
          <w:iCs/>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154A54">
        <w:rPr>
          <w:rFonts w:ascii="Arial" w:eastAsia="Times New Roman" w:hAnsi="Arial" w:cs="Arial"/>
          <w:sz w:val="24"/>
          <w:szCs w:val="21"/>
        </w:rPr>
        <w:t>1.00</w:t>
      </w:r>
      <w:r w:rsidR="00154A54">
        <w:rPr>
          <w:rFonts w:ascii="Arial" w:eastAsia="Times New Roman" w:hAnsi="Arial" w:cs="Arial"/>
          <w:sz w:val="24"/>
          <w:szCs w:val="21"/>
        </w:rPr>
        <w:t xml:space="preserve"> </w:t>
      </w:r>
      <w:r w:rsidRPr="00A43AB2" w:rsidR="00A43AB2">
        <w:rPr>
          <w:rFonts w:ascii="Arial" w:eastAsia="Times New Roman" w:hAnsi="Arial" w:cs="Arial"/>
          <w:i/>
          <w:iCs/>
          <w:sz w:val="24"/>
          <w:szCs w:val="21"/>
        </w:rPr>
        <w:t>AMA PRA Category 1 Credit(s)</w:t>
      </w:r>
      <w:r w:rsidRPr="00A43AB2" w:rsidR="00A43AB2">
        <w:rPr>
          <w:rFonts w:ascii="Arial" w:eastAsia="Times New Roman" w:hAnsi="Arial" w:cs="Arial"/>
          <w:iCs/>
          <w:sz w:val="24"/>
          <w:szCs w:val="21"/>
        </w:rPr>
        <w:t>™</w:t>
      </w:r>
      <w:r w:rsidR="00154A54">
        <w:rPr>
          <w:rFonts w:ascii="Arial" w:eastAsia="Times New Roman" w:hAnsi="Arial" w:cs="Arial"/>
          <w:iCs/>
          <w:sz w:val="24"/>
          <w:szCs w:val="21"/>
        </w:rPr>
        <w:t xml:space="preserve">; </w:t>
      </w:r>
      <w:r w:rsidRPr="00A43AB2"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0.00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MERGEFIELD ACPEHoursMax \# 0.00#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fldChar w:fldCharType="end"/>
      </w:r>
      <w:r w:rsidR="00B37411">
        <w:rPr>
          <w:rFonts w:ascii="Arial" w:eastAsia="Times New Roman" w:hAnsi="Arial" w:cs="Arial"/>
          <w:sz w:val="24"/>
          <w:szCs w:val="21"/>
        </w:rPr>
        <w:instrText xml:space="preserve"> ACPE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1.00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instrText>1.00</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ANCC Contact Hour(s)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00154A54">
        <w:rPr>
          <w:rFonts w:ascii="Arial" w:eastAsia="Times New Roman" w:hAnsi="Arial" w:cs="Arial"/>
          <w:sz w:val="24"/>
          <w:szCs w:val="21"/>
        </w:rPr>
        <w:t>1.00</w:t>
      </w:r>
      <w:r w:rsidR="00154A54">
        <w:rPr>
          <w:rFonts w:ascii="Arial" w:eastAsia="Times New Roman" w:hAnsi="Arial" w:cs="Arial"/>
          <w:sz w:val="24"/>
          <w:szCs w:val="21"/>
        </w:rPr>
        <w:t xml:space="preserve"> </w:t>
      </w:r>
      <w:r w:rsidRPr="00A43AB2" w:rsidR="00A43AB2">
        <w:rPr>
          <w:rFonts w:ascii="Arial" w:eastAsia="Times New Roman" w:hAnsi="Arial" w:cs="Arial"/>
          <w:sz w:val="24"/>
          <w:szCs w:val="21"/>
        </w:rPr>
        <w:t>ANCC Contact Hour(s)</w:t>
      </w:r>
      <w:r w:rsidR="00154A54">
        <w:rPr>
          <w:rFonts w:ascii="Arial" w:eastAsia="Times New Roman" w:hAnsi="Arial" w:cs="Arial"/>
          <w:sz w:val="24"/>
          <w:szCs w:val="21"/>
        </w:rPr>
        <w:t xml:space="preserve">; </w: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ASWBHoursMax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Social Work Continuing Education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instrText>0</w:instrText>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AAPALiveHoursMax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AAPAEndHoursMax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4"/>
        </w:rPr>
        <w:instrText>AAPA Category 1 CME Credit(s</w:instrText>
      </w:r>
      <w:r w:rsidR="00154A54">
        <w:rPr>
          <w:rFonts w:ascii="Arial" w:eastAsia="Times New Roman" w:hAnsi="Arial" w:cs="Arial"/>
          <w:sz w:val="24"/>
          <w:szCs w:val="24"/>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APAHoursMax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APA CE Credit(s)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IF </w:instrText>
      </w:r>
      <w:r w:rsidR="00820EAE">
        <w:rPr>
          <w:rFonts w:ascii="Arial" w:eastAsia="Times New Roman" w:hAnsi="Arial" w:cs="Arial"/>
          <w:sz w:val="24"/>
          <w:szCs w:val="21"/>
        </w:rPr>
        <w:instrText>0.00</w:instrText>
      </w:r>
      <w:r w:rsidR="00820EAE">
        <w:rPr>
          <w:rFonts w:ascii="Arial" w:eastAsia="Times New Roman" w:hAnsi="Arial" w:cs="Arial"/>
          <w:sz w:val="24"/>
          <w:szCs w:val="21"/>
        </w:rPr>
        <w:instrText xml:space="preserve"> &gt; 0 "</w:instrText>
      </w:r>
      <w:r w:rsidR="00820EAE">
        <w:rPr>
          <w:rFonts w:ascii="Arial" w:eastAsia="Times New Roman" w:hAnsi="Arial" w:cs="Arial"/>
          <w:sz w:val="24"/>
          <w:szCs w:val="21"/>
        </w:rPr>
        <w:fldChar w:fldCharType="begin"/>
      </w:r>
      <w:r w:rsidR="00820EAE">
        <w:rPr>
          <w:rFonts w:ascii="Arial" w:eastAsia="Times New Roman" w:hAnsi="Arial" w:cs="Arial"/>
          <w:sz w:val="24"/>
          <w:szCs w:val="21"/>
        </w:rPr>
        <w:instrText xml:space="preserve"> MERGEFIELD CDRHoursMax \# 0.00#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00820EAE">
        <w:rPr>
          <w:rFonts w:ascii="Arial" w:eastAsia="Times New Roman" w:hAnsi="Arial" w:cs="Arial"/>
          <w:sz w:val="24"/>
          <w:szCs w:val="21"/>
        </w:rPr>
        <w:instrText xml:space="preserve"> CDR Credit(s); " "" </w:instrText>
      </w:r>
      <w:r w:rsidR="00820EAE">
        <w:rPr>
          <w:rFonts w:ascii="Arial" w:eastAsia="Times New Roman" w:hAnsi="Arial" w:cs="Arial"/>
          <w:sz w:val="24"/>
          <w:szCs w:val="21"/>
        </w:rPr>
        <w:fldChar w:fldCharType="separate"/>
      </w:r>
      <w:r w:rsidR="00820EAE">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ABIM2HoursMax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ABIM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sidR="00154A54">
        <w:rPr>
          <w:rFonts w:ascii="Arial" w:eastAsia="Times New Roman" w:hAnsi="Arial" w:cs="Arial"/>
          <w:sz w:val="24"/>
          <w:szCs w:val="21"/>
        </w:rPr>
        <w:fldChar w:fldCharType="begin"/>
      </w:r>
      <w:r w:rsidR="00154A54">
        <w:rPr>
          <w:rFonts w:ascii="Arial" w:eastAsia="Times New Roman" w:hAnsi="Arial" w:cs="Arial"/>
          <w:sz w:val="24"/>
          <w:szCs w:val="21"/>
        </w:rPr>
        <w:instrText xml:space="preserve"> MERGEFIELD ABP2HoursMax \# 0.00# </w:instrText>
      </w:r>
      <w:r w:rsidR="00154A54">
        <w:rPr>
          <w:rFonts w:ascii="Arial" w:eastAsia="Times New Roman" w:hAnsi="Arial" w:cs="Arial"/>
          <w:sz w:val="24"/>
          <w:szCs w:val="21"/>
        </w:rPr>
        <w:fldChar w:fldCharType="separate"/>
      </w:r>
      <w:r w:rsidR="00154A54">
        <w:rPr>
          <w:rFonts w:ascii="Arial" w:eastAsia="Times New Roman" w:hAnsi="Arial" w:cs="Arial"/>
          <w:sz w:val="24"/>
          <w:szCs w:val="21"/>
        </w:rPr>
        <w:fldChar w:fldCharType="end"/>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ABP MOC Part 2 Point(s)</w:instrText>
      </w:r>
      <w:r w:rsidR="00154A54">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A43AB2"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ABA2HoursMax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ABA MOC Part II Point(s)</w:instrText>
      </w:r>
      <w:r>
        <w:rPr>
          <w:rFonts w:ascii="Arial" w:eastAsia="Times New Roman" w:hAnsi="Arial" w:cs="Arial"/>
          <w:sz w:val="24"/>
          <w:szCs w:val="21"/>
        </w:rPr>
        <w:instrText xml:space="preserve">; </w:instrText>
      </w:r>
      <w:r w:rsidRPr="00A43AB2" w:rsidR="00A43AB2">
        <w:rPr>
          <w:rFonts w:ascii="Arial" w:eastAsia="Times New Roman" w:hAnsi="Arial" w:cs="Arial"/>
          <w:sz w:val="24"/>
          <w:szCs w:val="21"/>
        </w:rPr>
        <w:instrText xml:space="preserve">" "" </w:instrText>
      </w:r>
      <w:r w:rsidRPr="00A43AB2" w:rsidR="00A43AB2">
        <w:rPr>
          <w:rFonts w:ascii="Arial" w:eastAsia="Times New Roman" w:hAnsi="Arial" w:cs="Arial"/>
          <w:sz w:val="24"/>
          <w:szCs w:val="21"/>
        </w:rPr>
        <w:fldChar w:fldCharType="separate"/>
      </w:r>
      <w:r w:rsidRPr="00A43AB2" w:rsidR="00A43AB2">
        <w:rPr>
          <w:rFonts w:ascii="Arial" w:eastAsia="Times New Roman" w:hAnsi="Arial" w:cs="Arial"/>
          <w:sz w:val="24"/>
          <w:szCs w:val="21"/>
        </w:rPr>
        <w:fldChar w:fldCharType="end"/>
      </w:r>
      <w:r w:rsidRPr="009D238E" w:rsidR="00A43AB2">
        <w:rPr>
          <w:rFonts w:ascii="Arial" w:eastAsia="Times New Roman" w:hAnsi="Arial" w:cs="Arial"/>
          <w:sz w:val="24"/>
          <w:szCs w:val="21"/>
        </w:rPr>
        <w:fldChar w:fldCharType="begin"/>
      </w:r>
      <w:r w:rsidRPr="00A43AB2" w:rsidR="00A43AB2">
        <w:rPr>
          <w:rFonts w:ascii="Arial" w:eastAsia="Times New Roman" w:hAnsi="Arial" w:cs="Arial"/>
          <w:sz w:val="24"/>
          <w:szCs w:val="21"/>
        </w:rPr>
        <w:instrText xml:space="preserve"> IF </w:instrText>
      </w:r>
      <w:r w:rsidRPr="00A43AB2" w:rsidR="00A43AB2">
        <w:rPr>
          <w:rFonts w:ascii="Arial" w:eastAsia="Times New Roman" w:hAnsi="Arial" w:cs="Arial"/>
          <w:sz w:val="24"/>
          <w:szCs w:val="21"/>
        </w:rPr>
        <w:instrText>0.00</w:instrText>
      </w:r>
      <w:r w:rsidRPr="00A43AB2" w:rsidR="00A43AB2">
        <w:rPr>
          <w:rFonts w:ascii="Arial" w:eastAsia="Times New Roman" w:hAnsi="Arial" w:cs="Arial"/>
          <w:sz w:val="24"/>
          <w:szCs w:val="21"/>
        </w:rPr>
        <w:instrText xml:space="preserve"> &gt; 0 "</w:instrText>
      </w:r>
      <w:r>
        <w:rPr>
          <w:rFonts w:ascii="Arial" w:eastAsia="Times New Roman" w:hAnsi="Arial" w:cs="Arial"/>
          <w:sz w:val="24"/>
          <w:szCs w:val="21"/>
        </w:rPr>
        <w:fldChar w:fldCharType="begin"/>
      </w:r>
      <w:r>
        <w:rPr>
          <w:rFonts w:ascii="Arial" w:eastAsia="Times New Roman" w:hAnsi="Arial" w:cs="Arial"/>
          <w:sz w:val="24"/>
          <w:szCs w:val="21"/>
        </w:rPr>
        <w:instrText xml:space="preserve"> MERGEFIELD ABPathHoursMax \# 0.00# </w:instrText>
      </w:r>
      <w:r>
        <w:rPr>
          <w:rFonts w:ascii="Arial" w:eastAsia="Times New Roman" w:hAnsi="Arial" w:cs="Arial"/>
          <w:sz w:val="24"/>
          <w:szCs w:val="21"/>
        </w:rPr>
        <w:fldChar w:fldCharType="separate"/>
      </w:r>
      <w:r>
        <w:rPr>
          <w:rFonts w:ascii="Arial" w:eastAsia="Times New Roman" w:hAnsi="Arial" w:cs="Arial"/>
          <w:sz w:val="24"/>
          <w:szCs w:val="21"/>
        </w:rPr>
        <w:fldChar w:fldCharType="end"/>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MOC ABPath Point(s)</w:instrText>
      </w:r>
      <w:r>
        <w:rPr>
          <w:rFonts w:ascii="Arial" w:eastAsia="Times New Roman" w:hAnsi="Arial" w:cs="Arial"/>
          <w:sz w:val="24"/>
          <w:szCs w:val="21"/>
        </w:rPr>
        <w:instrText xml:space="preserve">; </w:instrText>
      </w:r>
      <w:r w:rsidRPr="009D238E" w:rsidR="00A43AB2">
        <w:rPr>
          <w:rFonts w:ascii="Arial" w:eastAsia="Times New Roman" w:hAnsi="Arial" w:cs="Arial"/>
          <w:sz w:val="24"/>
          <w:szCs w:val="21"/>
        </w:rPr>
        <w:instrText xml:space="preserve">" "" </w:instrText>
      </w:r>
      <w:r w:rsidRPr="009D238E" w:rsidR="00A43AB2">
        <w:rPr>
          <w:rFonts w:ascii="Arial" w:eastAsia="Times New Roman" w:hAnsi="Arial" w:cs="Arial"/>
          <w:sz w:val="24"/>
          <w:szCs w:val="21"/>
        </w:rPr>
        <w:fldChar w:fldCharType="separate"/>
      </w:r>
      <w:r w:rsidRPr="009D238E" w:rsidR="00A43AB2">
        <w:rPr>
          <w:rFonts w:ascii="Arial" w:eastAsia="Times New Roman" w:hAnsi="Arial" w:cs="Arial"/>
          <w:sz w:val="24"/>
          <w:szCs w:val="21"/>
        </w:rPr>
        <w:fldChar w:fldCharType="end"/>
      </w:r>
      <w:r w:rsidR="00B37411">
        <w:rPr>
          <w:rFonts w:ascii="Arial" w:eastAsia="Times New Roman" w:hAnsi="Arial" w:cs="Arial"/>
          <w:sz w:val="24"/>
          <w:szCs w:val="21"/>
        </w:rPr>
        <w:fldChar w:fldCharType="begin"/>
      </w:r>
      <w:r w:rsidR="00B37411">
        <w:rPr>
          <w:rFonts w:ascii="Arial" w:eastAsia="Times New Roman" w:hAnsi="Arial" w:cs="Arial"/>
          <w:sz w:val="24"/>
          <w:szCs w:val="21"/>
        </w:rPr>
        <w:instrText xml:space="preserve"> IF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&gt; 0 "</w:instrText>
      </w:r>
      <w:r w:rsidR="00B37411">
        <w:rPr>
          <w:rFonts w:ascii="Arial" w:eastAsia="Times New Roman" w:hAnsi="Arial" w:cs="Arial"/>
          <w:sz w:val="24"/>
          <w:szCs w:val="21"/>
        </w:rPr>
        <w:instrText>1.00</w:instrText>
      </w:r>
      <w:r w:rsidR="00B37411">
        <w:rPr>
          <w:rFonts w:ascii="Arial" w:eastAsia="Times New Roman" w:hAnsi="Arial" w:cs="Arial"/>
          <w:sz w:val="24"/>
          <w:szCs w:val="21"/>
        </w:rPr>
        <w:instrText xml:space="preserve"> Non-Physician Credit(s); " "" </w:instrText>
      </w:r>
      <w:r w:rsidR="00B37411">
        <w:rPr>
          <w:rFonts w:ascii="Arial" w:eastAsia="Times New Roman" w:hAnsi="Arial" w:cs="Arial"/>
          <w:sz w:val="24"/>
          <w:szCs w:val="21"/>
        </w:rPr>
        <w:fldChar w:fldCharType="separate"/>
      </w:r>
      <w:r w:rsidR="00B37411">
        <w:rPr>
          <w:rFonts w:ascii="Arial" w:eastAsia="Times New Roman" w:hAnsi="Arial" w:cs="Arial"/>
          <w:sz w:val="24"/>
          <w:szCs w:val="21"/>
        </w:rPr>
        <w:t>1.00</w:t>
      </w:r>
      <w:r w:rsidR="00B37411">
        <w:rPr>
          <w:rFonts w:ascii="Arial" w:eastAsia="Times New Roman" w:hAnsi="Arial" w:cs="Arial"/>
          <w:sz w:val="24"/>
          <w:szCs w:val="21"/>
        </w:rPr>
        <w:t xml:space="preserve"> Non-Physician Credit(s); </w:t>
      </w:r>
      <w:r w:rsidR="00B37411">
        <w:rPr>
          <w:rFonts w:ascii="Arial" w:eastAsia="Times New Roman" w:hAnsi="Arial" w:cs="Arial"/>
          <w:sz w:val="24"/>
          <w:szCs w:val="21"/>
        </w:rPr>
        <w:fldChar w:fldCharType="end"/>
      </w:r>
    </w:p>
    <w:p w:rsidR="00DD5660" w:rsidRPr="00DD5660" w:rsidP="00DD5660">
      <w:pPr>
        <w:contextualSpacing/>
        <w:rPr>
          <w:rFonts w:ascii="Arial" w:hAnsi="Arial" w:cs="Arial"/>
          <w:sz w:val="20"/>
          <w:szCs w:val="20"/>
        </w:rPr>
      </w:pPr>
    </w:p>
    <w:p w:rsidR="00A57FC9" w:rsidP="006C7647">
      <w:pPr>
        <w:spacing w:after="0" w:line="240" w:lineRule="auto"/>
        <w:contextualSpacing/>
        <w:rPr>
          <w:rFonts w:ascii="Arial" w:hAnsi="Arial" w:cs="Arial"/>
          <w:b/>
          <w:sz w:val="24"/>
          <w:szCs w:val="24"/>
        </w:rPr>
      </w:pPr>
      <w:r>
        <w:rPr>
          <w:rFonts w:ascii="Arial" w:hAnsi="Arial" w:cs="Arial"/>
          <w:b/>
          <w:sz w:val="24"/>
          <w:szCs w:val="24"/>
        </w:rPr>
        <w:t>Disclosure of Financial Relationships:</w:t>
      </w:r>
    </w:p>
    <w:p w:rsidR="00A57FC9" w:rsidP="006C7647">
      <w:pPr>
        <w:spacing w:after="0" w:line="240" w:lineRule="auto"/>
        <w:contextualSpacing/>
        <w:rPr>
          <w:rFonts w:ascii="Arial" w:hAnsi="Arial" w:cs="Arial"/>
          <w:sz w:val="24"/>
          <w:szCs w:val="24"/>
        </w:rPr>
      </w:pPr>
      <w:r>
        <w:rPr>
          <w:rFonts w:ascii="Arial" w:hAnsi="Arial" w:cs="Arial"/>
          <w:sz w:val="24"/>
          <w:szCs w:val="24"/>
        </w:rPr>
        <w:t>The following planners, moderators or speakers have the following financial relationship(s) with commercial interests to disclose:</w:t>
      </w:r>
    </w:p>
    <w:p w:rsidR="00386F24" w:rsidRPr="00386F24" w:rsidP="006C7647">
      <w:pPr>
        <w:spacing w:after="0" w:line="240" w:lineRule="auto"/>
        <w:contextualSpacing/>
        <w:rPr>
          <w:rFonts w:ascii="Arial" w:hAnsi="Arial" w:cs="Arial"/>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040"/>
        <w:gridCol w:w="3040"/>
        <w:gridCol w:w="405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Lauren Atkinson ,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Sandy Barlow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Buczkowski,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Kathryn Diamond-Falk,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Pamela Dietz,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Brianne Drury,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Dumond, MEd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Fritz,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Joy,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Meagan Oberholtzer,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Mary C Ottolini,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Laura Schroeder,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bl>
    <w:p w:rsidR="00552F5E" w:rsidRPr="00386F24">
      <w:pPr>
        <w:rPr>
          <w:rFonts w:ascii="Arial" w:hAnsi="Arial" w:cs="Arial"/>
          <w:sz w:val="24"/>
          <w:szCs w:val="24"/>
        </w:rPr>
      </w:pPr>
    </w:p>
    <w:sectPr w:rsidSect="00386F24">
      <w:pgSz w:w="12240" w:h="15840"/>
      <w:pgMar w:top="108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Hin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table" w:customStyle="1" w:styleId="TableGrid1">
    <w:name w:val="Table Grid1"/>
    <w:basedOn w:val="TableNormal"/>
    <w:next w:val="TableGrid"/>
    <w:rsid w:val="002A779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39e86e3-c6cb-4009-9315-13e2c40ba069}" enabled="1" method="Standard" siteId="{acbd2f92-746c-49e2-8f2b-a3cd9620885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798</Words>
  <Characters>4550</Characters>
  <Application>Microsoft Office Word</Application>
  <DocSecurity>0</DocSecurity>
  <Lines>37</Lines>
  <Paragraphs>10</Paragraphs>
  <ScaleCrop>false</ScaleCrop>
  <Company>A</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Stanley, Laura</cp:lastModifiedBy>
  <cp:revision>2</cp:revision>
  <dcterms:created xsi:type="dcterms:W3CDTF">2026-05-14T16:41:00Z</dcterms:created>
  <dcterms:modified xsi:type="dcterms:W3CDTF">2026-05-14T16:41:00Z</dcterms:modified>
</cp:coreProperties>
</file>