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07BF0" w:rsidP="75606142">
      <w:pPr>
        <w:spacing w:after="0" w:line="240" w:lineRule="auto"/>
        <w:contextualSpacing/>
        <w:jc w:val="center"/>
      </w:pPr>
      <w:r>
        <w:rPr>
          <w:noProof/>
        </w:rPr>
        <w:drawing>
          <wp:inline distT="0" distB="0" distL="0" distR="0">
            <wp:extent cx="3876675" cy="540006"/>
            <wp:effectExtent l="0" t="0" r="0" b="0"/>
            <wp:docPr id="14797065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06574" name="Picture 1479706574"/>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3876675" cy="540006"/>
                    </a:xfrm>
                    <a:prstGeom prst="rect">
                      <a:avLst/>
                    </a:prstGeom>
                  </pic:spPr>
                </pic:pic>
              </a:graphicData>
            </a:graphic>
          </wp:inline>
        </w:drawing>
      </w:r>
    </w:p>
    <w:p w:rsidR="00DB705B" w:rsidP="006C7647">
      <w:pPr>
        <w:spacing w:after="0" w:line="240" w:lineRule="auto"/>
        <w:contextualSpacing/>
        <w:jc w:val="center"/>
        <w:rPr>
          <w:sz w:val="40"/>
          <w:szCs w:val="40"/>
        </w:rPr>
      </w:pPr>
    </w:p>
    <w:p w:rsidR="00820EAE" w:rsidRPr="00820EAE" w:rsidP="006C7647">
      <w:pPr>
        <w:spacing w:after="0" w:line="240" w:lineRule="auto"/>
        <w:contextualSpacing/>
        <w:jc w:val="center"/>
        <w:rPr>
          <w:sz w:val="32"/>
          <w:szCs w:val="32"/>
        </w:rPr>
      </w:pPr>
      <w:r w:rsidRPr="00820EAE">
        <w:rPr>
          <w:sz w:val="32"/>
          <w:szCs w:val="32"/>
        </w:rPr>
        <w:fldChar w:fldCharType="begin"/>
      </w:r>
      <w:r w:rsidRPr="00820EAE">
        <w:rPr>
          <w:sz w:val="32"/>
          <w:szCs w:val="32"/>
        </w:rPr>
        <w:instrText xml:space="preserve"> IF </w:instrText>
      </w:r>
      <w:r w:rsidRPr="00820EAE">
        <w:rPr>
          <w:sz w:val="32"/>
          <w:szCs w:val="32"/>
        </w:rPr>
        <w:instrText>"</w:instrText>
      </w:r>
      <w:r w:rsidRPr="00820EAE">
        <w:rPr>
          <w:sz w:val="32"/>
          <w:szCs w:val="32"/>
        </w:rPr>
        <w:instrText>"</w:instrText>
      </w:r>
      <w:r w:rsidRPr="00820EAE">
        <w:rPr>
          <w:sz w:val="32"/>
          <w:szCs w:val="32"/>
        </w:rPr>
        <w:instrText xml:space="preserve"> &lt;&gt; "" "</w:instrText>
      </w:r>
      <w:r w:rsidRPr="00820EAE">
        <w:rPr>
          <w:sz w:val="40"/>
          <w:szCs w:val="40"/>
        </w:rPr>
        <w:fldChar w:fldCharType="begin"/>
      </w:r>
      <w:r w:rsidRPr="00820EAE">
        <w:rPr>
          <w:sz w:val="40"/>
          <w:szCs w:val="40"/>
        </w:rPr>
        <w:instrText xml:space="preserve"> MERGEFIELD ParentName </w:instrText>
      </w:r>
      <w:r w:rsidRPr="00820EAE">
        <w:rPr>
          <w:sz w:val="40"/>
          <w:szCs w:val="40"/>
        </w:rPr>
        <w:fldChar w:fldCharType="separate"/>
      </w:r>
      <w:r w:rsidR="00875345">
        <w:rPr>
          <w:noProof/>
          <w:sz w:val="40"/>
          <w:szCs w:val="40"/>
        </w:rPr>
        <w:instrText>«ParentName»</w:instrText>
      </w:r>
      <w:r w:rsidRPr="00820EAE">
        <w:rPr>
          <w:sz w:val="40"/>
          <w:szCs w:val="40"/>
        </w:rPr>
        <w:fldChar w:fldCharType="end"/>
      </w:r>
    </w:p>
    <w:p w:rsidR="00875345" w:rsidRPr="00820EAE" w:rsidP="006C7647">
      <w:pPr>
        <w:spacing w:after="0" w:line="240" w:lineRule="auto"/>
        <w:contextualSpacing/>
        <w:jc w:val="center"/>
        <w:rPr>
          <w:noProof/>
          <w:sz w:val="32"/>
          <w:szCs w:val="32"/>
        </w:rPr>
      </w:pPr>
      <w:r w:rsidRPr="00820EAE">
        <w:rPr>
          <w:sz w:val="32"/>
          <w:szCs w:val="32"/>
        </w:rPr>
        <w:fldChar w:fldCharType="begin"/>
      </w:r>
      <w:r w:rsidRPr="00820EAE">
        <w:rPr>
          <w:sz w:val="32"/>
          <w:szCs w:val="32"/>
        </w:rPr>
        <w:instrText xml:space="preserve"> MERGEFIELD </w:instrText>
      </w:r>
      <w:r>
        <w:rPr>
          <w:sz w:val="32"/>
          <w:szCs w:val="32"/>
        </w:rPr>
        <w:instrText>EventName</w:instrText>
      </w:r>
      <w:r w:rsidRPr="00820EAE">
        <w:rPr>
          <w:sz w:val="32"/>
          <w:szCs w:val="32"/>
        </w:rPr>
        <w:instrText xml:space="preserve"> </w:instrText>
      </w:r>
      <w:r w:rsidRPr="00820EAE">
        <w:rPr>
          <w:sz w:val="32"/>
          <w:szCs w:val="32"/>
        </w:rPr>
        <w:fldChar w:fldCharType="separate"/>
      </w:r>
      <w:r>
        <w:rPr>
          <w:noProof/>
          <w:sz w:val="32"/>
          <w:szCs w:val="32"/>
        </w:rPr>
        <w:instrText>«EventName»</w:instrText>
      </w:r>
      <w:r w:rsidRPr="00820EAE">
        <w:rPr>
          <w:sz w:val="32"/>
          <w:szCs w:val="32"/>
        </w:rPr>
        <w:fldChar w:fldCharType="end"/>
      </w:r>
      <w:r w:rsidRPr="00820EAE">
        <w:rPr>
          <w:sz w:val="32"/>
          <w:szCs w:val="32"/>
        </w:rPr>
        <w:instrText>" "</w:instrText>
      </w:r>
      <w:r>
        <w:rPr>
          <w:sz w:val="40"/>
          <w:szCs w:val="40"/>
        </w:rPr>
        <w:instrText>MOOSE neoSTAR Telesimulation – PEN BAY</w:instrText>
      </w:r>
      <w:r w:rsidRPr="00820EAE">
        <w:rPr>
          <w:sz w:val="32"/>
          <w:szCs w:val="32"/>
        </w:rPr>
        <w:instrText xml:space="preserve">" </w:instrText>
      </w:r>
      <w:r w:rsidRPr="00820EAE">
        <w:rPr>
          <w:sz w:val="32"/>
          <w:szCs w:val="32"/>
        </w:rPr>
        <w:fldChar w:fldCharType="separate"/>
      </w:r>
      <w:r>
        <w:rPr>
          <w:sz w:val="40"/>
          <w:szCs w:val="40"/>
        </w:rPr>
        <w:t>MOOSE neoSTAR Telesimulation – PEN BAY</w:t>
      </w:r>
      <w:r w:rsidRPr="00820EAE" w:rsidR="00820EAE">
        <w:rPr>
          <w:sz w:val="32"/>
          <w:szCs w:val="32"/>
        </w:rPr>
        <w:fldChar w:fldCharType="end"/>
      </w:r>
      <w:r w:rsidRPr="00EA029C" w:rsidR="00B3131A">
        <w:rPr>
          <w:rFonts w:ascii="Arial" w:hAnsi="Arial"/>
          <w:bCs/>
          <w:noProof/>
          <w:color w:val="17365D" w:themeColor="text2" w:themeShade="BF"/>
        </w:rPr>
        <w:fldChar w:fldCharType="begin"/>
      </w:r>
      <w:r w:rsidRPr="00EA029C" w:rsidR="00B3131A">
        <w:rPr>
          <w:rFonts w:ascii="Arial" w:hAnsi="Arial"/>
          <w:bCs/>
          <w:noProof/>
          <w:color w:val="17365D" w:themeColor="text2" w:themeShade="BF"/>
        </w:rPr>
        <w:instrText xml:space="preserve"> IF </w:instrText>
      </w:r>
      <w:r w:rsidR="004021DF">
        <w:rPr>
          <w:rFonts w:ascii="Arial" w:hAnsi="Arial"/>
          <w:bCs/>
          <w:noProof/>
          <w:color w:val="17365D" w:themeColor="text2" w:themeShade="BF"/>
        </w:rPr>
        <w:instrText>"</w:instrText>
      </w:r>
      <w:r>
        <w:rPr>
          <w:rtl w:val="0"/>
        </w:rPr>
        <w:instrText>The Maine Ongoing Outreach Simulation Education (MOOSE) neoSTAR telesimulation program is designed to allow community hospitals to practice high risk but low frequency scenarios, following their full-day MOOSE neoSTAR Site Initiation Visit (SIV) simulation training. The MOOSE neoSTAR program is a monthly, one-hour, scheduled telesimulation for teams caring for neonates, including pediatricians, APPs, nurses, respiratory therapists and any other key interprofessional members such as OBGYN’s, hospital educators, and quality improvement specialists. The simulations are located on site at each of the participating local hospitals and the hospitals are connected virtually to MaineHealth Maine Medical Center Portland. The trainings will consist of immersive simulation scenarios followed by virtual learning debriefs.</w:instrText>
      </w:r>
      <w:r w:rsidR="004021DF">
        <w:rPr>
          <w:rFonts w:ascii="Arial" w:hAnsi="Arial"/>
          <w:bCs/>
          <w:noProof/>
          <w:color w:val="17365D" w:themeColor="text2" w:themeShade="BF"/>
        </w:rPr>
        <w:instrText>"</w:instrText>
      </w:r>
      <w:r w:rsidRPr="00EA029C" w:rsidR="00B3131A">
        <w:rPr>
          <w:rFonts w:ascii="Arial" w:hAnsi="Arial"/>
          <w:bCs/>
          <w:noProof/>
          <w:color w:val="17365D" w:themeColor="text2" w:themeShade="BF"/>
        </w:rPr>
        <w:instrText xml:space="preserve"> &lt;&gt; "" "</w:instrText>
      </w:r>
    </w:p>
    <w:p w:rsidR="000F5D19" w:rsidP="006C7647">
      <w:pPr>
        <w:spacing w:after="0" w:line="240" w:lineRule="auto"/>
        <w:contextualSpacing/>
        <w:jc w:val="center"/>
        <w:rPr>
          <w:rFonts w:ascii="Arial" w:hAnsi="Arial"/>
          <w:bCs/>
          <w:noProof/>
          <w:color w:val="17365D" w:themeColor="text2" w:themeShade="BF"/>
          <w:sz w:val="20"/>
          <w:szCs w:val="20"/>
        </w:rPr>
      </w:pPr>
    </w:p>
    <w:p w:rsidR="000F5D19" w:rsidP="006C7647">
      <w:pPr>
        <w:spacing w:after="0" w:line="240" w:lineRule="auto"/>
        <w:contextualSpacing/>
        <w:jc w:val="center"/>
        <w:rPr>
          <w:rFonts w:ascii="Arial" w:hAnsi="Arial"/>
          <w:bCs/>
          <w:noProof/>
          <w:color w:val="17365D" w:themeColor="text2" w:themeShade="BF"/>
          <w:sz w:val="20"/>
          <w:szCs w:val="20"/>
        </w:rPr>
      </w:pPr>
    </w:p>
    <w:p w:rsidR="00875345" w:rsidP="006C7647">
      <w:pPr>
        <w:spacing w:after="0" w:line="240" w:lineRule="auto"/>
        <w:contextualSpacing/>
        <w:jc w:val="center"/>
        <w:rPr>
          <w:rFonts w:ascii="Arial" w:hAnsi="Arial"/>
          <w:bCs/>
          <w:noProof/>
          <w:color w:val="17365D" w:themeColor="text2" w:themeShade="BF"/>
          <w:sz w:val="20"/>
          <w:szCs w:val="20"/>
        </w:rPr>
      </w:pPr>
      <w:r>
        <w:rPr>
          <w:rtl w:val="0"/>
        </w:rPr>
        <w:instrText>The Maine Ongoing Outreach Simulation Education (MOOSE) neoSTAR telesimulation program is designed to allow community hospitals to practice high risk but low frequency scenarios, following their full-day MOOSE neoSTAR Site Initiation Visit (SIV) simulation training. The MOOSE neoSTAR program is a monthly, one-hour, scheduled telesimulation for teams caring for neonates, including pediatricians, APPs, nurses, respiratory therapists and any other key interprofessional members such as OBGYN’s, hospital educators, and quality improvement specialists. The simulations are located on site at each of the participating local hospitals and the hospitals are connected virtually to MaineHealth Maine Medical Center Portland. The trainings will consist of immersive simulation scenarios followed by virtual learning debriefs.</w:instrText>
      </w:r>
      <w:r w:rsidRPr="00EA029C" w:rsidR="00B3131A">
        <w:rPr>
          <w:rFonts w:ascii="Arial" w:hAnsi="Arial"/>
          <w:bCs/>
          <w:noProof/>
          <w:color w:val="17365D" w:themeColor="text2" w:themeShade="BF"/>
        </w:rPr>
        <w:instrText xml:space="preserve">" "" </w:instrText>
      </w:r>
      <w:r w:rsidRPr="00EA029C" w:rsidR="00B3131A">
        <w:rPr>
          <w:rFonts w:ascii="Arial" w:hAnsi="Arial"/>
          <w:bCs/>
          <w:noProof/>
          <w:color w:val="17365D" w:themeColor="text2" w:themeShade="BF"/>
        </w:rPr>
        <w:fldChar w:fldCharType="separate"/>
      </w:r>
    </w:p>
    <w:p w:rsidR="000F5D19" w:rsidP="006C7647">
      <w:pPr>
        <w:spacing w:after="0" w:line="240" w:lineRule="auto"/>
        <w:contextualSpacing/>
        <w:jc w:val="center"/>
        <w:rPr>
          <w:rFonts w:ascii="Arial" w:hAnsi="Arial"/>
          <w:bCs/>
          <w:noProof/>
          <w:color w:val="17365D" w:themeColor="text2" w:themeShade="BF"/>
          <w:sz w:val="20"/>
          <w:szCs w:val="20"/>
        </w:rPr>
      </w:pPr>
    </w:p>
    <w:p w:rsidR="000F5D19" w:rsidP="006C7647">
      <w:pPr>
        <w:spacing w:after="0" w:line="240" w:lineRule="auto"/>
        <w:contextualSpacing/>
        <w:jc w:val="center"/>
        <w:rPr>
          <w:rFonts w:ascii="Arial" w:hAnsi="Arial"/>
          <w:bCs/>
          <w:noProof/>
          <w:color w:val="17365D" w:themeColor="text2" w:themeShade="BF"/>
          <w:sz w:val="20"/>
          <w:szCs w:val="20"/>
        </w:rPr>
      </w:pPr>
    </w:p>
    <w:p w:rsidR="00B3131A" w:rsidRPr="00EA029C" w:rsidP="006C7647">
      <w:pPr>
        <w:spacing w:after="0" w:line="240" w:lineRule="auto"/>
        <w:contextualSpacing/>
        <w:jc w:val="center"/>
        <w:rPr>
          <w:rFonts w:ascii="Arial" w:hAnsi="Arial"/>
          <w:bCs/>
          <w:noProof/>
          <w:color w:val="17365D" w:themeColor="text2" w:themeShade="BF"/>
        </w:rPr>
      </w:pPr>
      <w:r>
        <w:rPr>
          <w:rtl w:val="0"/>
        </w:rPr>
        <w:t>The Maine Ongoing Outreach Simulation Education (MOOSE) neoSTAR telesimulation program is designed to allow community hospitals to practice high risk but low frequency scenarios, following their full-day MOOSE neoSTAR Site Initiation Visit (SIV) simulation training. The MOOSE neoSTAR program is a monthly, one-hour, scheduled telesimulation for teams caring for neonates, including pediatricians, APPs, nurses, respiratory therapists and any other key interprofessional members such as OBGYN’s, hospital educators, and quality improvement specialists. The simulations are located on site at each of the participating local hospitals and the hospitals are connected virtually to MaineHealth Maine Medical Center Portland. The trainings will consist of immersive simulation scenarios followed by virtual learning debriefs.</w:t>
      </w:r>
      <w:r w:rsidRPr="00EA029C">
        <w:rPr>
          <w:rFonts w:ascii="Arial" w:hAnsi="Arial"/>
          <w:bCs/>
          <w:noProof/>
          <w:color w:val="17365D" w:themeColor="text2" w:themeShade="BF"/>
        </w:rPr>
        <w:fldChar w:fldCharType="end"/>
      </w:r>
    </w:p>
    <w:p w:rsidR="006C7647" w:rsidRPr="00386F24" w:rsidP="006C7647">
      <w:pPr>
        <w:spacing w:after="0" w:line="240" w:lineRule="auto"/>
        <w:contextualSpacing/>
        <w:jc w:val="center"/>
        <w:rPr>
          <w:rFonts w:ascii="Arial" w:hAnsi="Arial" w:cs="Arial"/>
          <w:b/>
          <w:sz w:val="20"/>
          <w:szCs w:val="20"/>
        </w:rPr>
      </w:pPr>
    </w:p>
    <w:p w:rsidR="008D42EF" w:rsidP="006C7647">
      <w:pPr>
        <w:spacing w:after="0" w:line="240" w:lineRule="auto"/>
        <w:contextualSpacing/>
        <w:jc w:val="center"/>
        <w:rPr>
          <w:rFonts w:cs="Arial"/>
          <w:bCs/>
        </w:rPr>
      </w:pPr>
      <w:r w:rsidRPr="0018769F">
        <w:rPr>
          <w:rFonts w:ascii="Arial" w:hAnsi="Arial" w:cs="Arial"/>
          <w:b/>
          <w:sz w:val="28"/>
          <w:szCs w:val="28"/>
        </w:rPr>
        <w:t>11/09/2026</w:t>
      </w:r>
      <w:r w:rsidRPr="008D42EF">
        <w:rPr>
          <w:rFonts w:cs="Arial"/>
          <w:bCs/>
        </w:rPr>
        <w:fldChar w:fldCharType="begin"/>
      </w:r>
      <w:r w:rsidRPr="008D42EF">
        <w:rPr>
          <w:rFonts w:cs="Arial"/>
          <w:bCs/>
        </w:rPr>
        <w:instrText xml:space="preserve"> IF </w:instrText>
      </w:r>
      <w:r>
        <w:rPr>
          <w:rFonts w:cs="Arial"/>
          <w:bCs/>
        </w:rPr>
        <w:instrText>"</w:instrText>
      </w:r>
      <w:r>
        <w:rPr>
          <w:rFonts w:cs="Arial"/>
          <w:bCs/>
        </w:rPr>
        <w:instrText>MaineHealth Pen Bay Labor and Delivery</w:instrText>
      </w:r>
      <w:r>
        <w:rPr>
          <w:rFonts w:cs="Arial"/>
          <w:bCs/>
        </w:rPr>
        <w:instrText>"</w:instrText>
      </w:r>
      <w:r>
        <w:rPr>
          <w:rFonts w:cs="Arial"/>
          <w:bCs/>
        </w:rPr>
        <w:instrText xml:space="preserve"> &lt;&gt; "" "</w:instrText>
      </w:r>
    </w:p>
    <w:p w:rsidR="00386F24" w:rsidRPr="00386F24" w:rsidP="006C7647">
      <w:pPr>
        <w:spacing w:after="0" w:line="240" w:lineRule="auto"/>
        <w:contextualSpacing/>
        <w:jc w:val="center"/>
        <w:rPr>
          <w:rFonts w:cs="Arial"/>
          <w:bCs/>
          <w:sz w:val="20"/>
          <w:szCs w:val="20"/>
        </w:rPr>
      </w:pPr>
    </w:p>
    <w:p w:rsidR="00875345" w:rsidP="006C7647">
      <w:pPr>
        <w:spacing w:after="0" w:line="240" w:lineRule="auto"/>
        <w:contextualSpacing/>
        <w:jc w:val="center"/>
        <w:rPr>
          <w:rFonts w:cs="Arial"/>
          <w:bCs/>
          <w:noProof/>
        </w:rPr>
      </w:pPr>
      <w:r>
        <w:rPr>
          <w:rFonts w:cs="Arial"/>
          <w:bCs/>
        </w:rPr>
        <w:instrText>MaineHealth Pen Bay Labor and Delivery</w:instrText>
      </w:r>
      <w:r>
        <w:rPr>
          <w:rFonts w:cs="Arial"/>
          <w:bCs/>
        </w:rPr>
        <w:instrText>" ""</w:instrText>
      </w:r>
      <w:r w:rsidRPr="008D42EF">
        <w:rPr>
          <w:rFonts w:cs="Arial"/>
          <w:bCs/>
        </w:rPr>
        <w:instrText xml:space="preserve"> </w:instrText>
      </w:r>
      <w:r w:rsidRPr="008D42EF">
        <w:rPr>
          <w:rFonts w:cs="Arial"/>
          <w:bCs/>
        </w:rPr>
        <w:fldChar w:fldCharType="separate"/>
      </w:r>
    </w:p>
    <w:p w:rsidR="00386F24" w:rsidRPr="00386F24" w:rsidP="006C7647">
      <w:pPr>
        <w:spacing w:after="0" w:line="240" w:lineRule="auto"/>
        <w:contextualSpacing/>
        <w:jc w:val="center"/>
        <w:rPr>
          <w:rFonts w:cs="Arial"/>
          <w:bCs/>
          <w:sz w:val="20"/>
          <w:szCs w:val="20"/>
        </w:rPr>
      </w:pPr>
    </w:p>
    <w:p w:rsidR="008D42EF" w:rsidRPr="008D42EF" w:rsidP="006C7647">
      <w:pPr>
        <w:spacing w:after="0" w:line="240" w:lineRule="auto"/>
        <w:contextualSpacing/>
        <w:jc w:val="center"/>
        <w:rPr>
          <w:rFonts w:cs="Arial"/>
          <w:bCs/>
        </w:rPr>
      </w:pPr>
      <w:r>
        <w:rPr>
          <w:rFonts w:cs="Arial"/>
          <w:bCs/>
        </w:rPr>
        <w:t>MaineHealth Pen Bay Labor and Delivery</w:t>
      </w:r>
      <w:r w:rsidRPr="008D42EF">
        <w:rPr>
          <w:rFonts w:cs="Arial"/>
          <w:bCs/>
        </w:rPr>
        <w:fldChar w:fldCharType="end"/>
      </w:r>
    </w:p>
    <w:p w:rsidR="00552F5E" w:rsidP="006C7647">
      <w:pPr>
        <w:spacing w:after="0" w:line="240" w:lineRule="auto"/>
        <w:contextualSpacing/>
        <w:rPr>
          <w:rFonts w:ascii="Arial" w:hAnsi="Arial" w:cs="Arial"/>
          <w:b/>
          <w:sz w:val="24"/>
          <w:szCs w:val="24"/>
        </w:rPr>
      </w:pPr>
    </w:p>
    <w:p w:rsidR="00A57FC9" w:rsidP="006C7647">
      <w:pPr>
        <w:spacing w:after="0" w:line="240" w:lineRule="auto"/>
        <w:contextualSpacing/>
        <w:rPr>
          <w:rFonts w:ascii="Arial" w:hAnsi="Arial" w:cs="Arial"/>
          <w:b/>
          <w:sz w:val="24"/>
          <w:szCs w:val="24"/>
        </w:rPr>
      </w:pPr>
    </w:p>
    <w:p w:rsidR="00552F5E" w:rsidP="006C7647">
      <w:pPr>
        <w:spacing w:after="0" w:line="240" w:lineRule="auto"/>
        <w:contextualSpacing/>
        <w:rPr>
          <w:rFonts w:ascii="Arial" w:hAnsi="Arial" w:cs="Arial"/>
          <w:b/>
          <w:sz w:val="28"/>
          <w:szCs w:val="28"/>
        </w:rPr>
      </w:pPr>
      <w:r w:rsidRPr="00BB5386">
        <w:rPr>
          <w:rFonts w:ascii="Arial" w:hAnsi="Arial" w:cs="Arial"/>
          <w:b/>
          <w:sz w:val="28"/>
          <w:szCs w:val="28"/>
        </w:rPr>
        <w:t>Goals or Objectives</w:t>
      </w:r>
      <w:r w:rsidRPr="00BB5386" w:rsidR="00993B4D">
        <w:rPr>
          <w:rFonts w:ascii="Arial" w:hAnsi="Arial" w:cs="Arial"/>
          <w:b/>
          <w:sz w:val="28"/>
          <w:szCs w:val="28"/>
        </w:rPr>
        <w:t>:</w:t>
      </w:r>
    </w:p>
    <w:p w:rsidR="00993B4D" w:rsidP="006C7647">
      <w:pPr>
        <w:spacing w:after="0" w:line="240" w:lineRule="auto"/>
        <w:contextualSpacing/>
        <w:rPr>
          <w:rFonts w:ascii="Arial" w:hAnsi="Arial" w:cs="Arial"/>
          <w:noProof/>
          <w:sz w:val="28"/>
          <w:szCs w:val="28"/>
        </w:rPr>
      </w:pPr>
      <w:r w:rsidR="00875345">
        <w:rPr>
          <w:rFonts w:ascii="Arial" w:hAnsi="Arial" w:cs="Arial"/>
          <w:noProof/>
          <w:sz w:val="28"/>
          <w:szCs w:val="28"/>
        </w:rPr>
        <w:t>1 Identify</w:t>
      </w:r>
      <w:r w:rsidRPr="00BB5386">
        <w:rPr>
          <w:rFonts w:ascii="Arial" w:hAnsi="Arial" w:cs="Arial"/>
          <w:sz w:val="28"/>
          <w:szCs w:val="28"/>
        </w:rPr>
        <w:t xml:space="preserve">/demonstrate roles and responsibilities required during neonatal assessment and resuscitation   </w:t>
      </w:r>
    </w:p>
    <w:p w:rsidRPr="00BB5386" w:rsidP="006C7647">
      <w:pPr>
        <w:spacing w:after="0" w:line="240" w:lineRule="auto"/>
        <w:contextualSpacing/>
        <w:rPr>
          <w:rFonts w:ascii="Arial" w:hAnsi="Arial" w:cs="Arial"/>
          <w:sz w:val="28"/>
          <w:szCs w:val="28"/>
        </w:rPr>
      </w:pPr>
      <w:r w:rsidRPr="00BB5386">
        <w:rPr>
          <w:rFonts w:ascii="Arial" w:hAnsi="Arial" w:cs="Arial"/>
          <w:sz w:val="28"/>
          <w:szCs w:val="28"/>
        </w:rPr>
        <w:t xml:space="preserve">2 Describe challenges that affect team dynamics and performance during neonatal resuscitation   </w:t>
      </w:r>
    </w:p>
    <w:p w:rsidR="00993B4D" w:rsidP="006C7647">
      <w:pPr>
        <w:spacing w:after="0" w:line="240" w:lineRule="auto"/>
        <w:contextualSpacing/>
        <w:rPr>
          <w:rFonts w:ascii="Arial" w:hAnsi="Arial" w:cs="Arial"/>
          <w:noProof/>
          <w:sz w:val="28"/>
          <w:szCs w:val="28"/>
        </w:rPr>
      </w:pPr>
      <w:r w:rsidRPr="00BB5386">
        <w:rPr>
          <w:rFonts w:ascii="Arial" w:hAnsi="Arial" w:cs="Arial"/>
          <w:sz w:val="28"/>
          <w:szCs w:val="28"/>
        </w:rPr>
        <w:t xml:space="preserve">3 Identify skills and team dynamics needed to manage common situations related to neonatal resuscitation based on your role on the delivery team. </w:t>
      </w:r>
    </w:p>
    <w:p w:rsidR="00552F5E" w:rsidP="006C7647">
      <w:pPr>
        <w:spacing w:after="0" w:line="240" w:lineRule="auto"/>
        <w:contextualSpacing/>
        <w:rPr>
          <w:rFonts w:ascii="Arial" w:hAnsi="Arial" w:cs="Arial"/>
          <w:color w:val="000000" w:themeColor="text1"/>
          <w:sz w:val="20"/>
          <w:szCs w:val="20"/>
        </w:rPr>
      </w:pPr>
    </w:p>
    <w:p w:rsidR="002A779F" w:rsidRPr="00386F24" w:rsidP="006C7647">
      <w:pPr>
        <w:spacing w:after="0" w:line="240" w:lineRule="auto"/>
        <w:contextualSpacing/>
        <w:rPr>
          <w:rFonts w:ascii="Arial" w:hAnsi="Arial" w:cs="Arial"/>
          <w:color w:val="000000" w:themeColor="text1"/>
          <w:sz w:val="20"/>
          <w:szCs w:val="20"/>
        </w:rPr>
      </w:pPr>
    </w:p>
    <w:p w:rsidR="002A779F" w:rsidRPr="002A779F" w:rsidP="006C7647">
      <w:pPr>
        <w:spacing w:after="0" w:line="240" w:lineRule="auto"/>
        <w:contextualSpacing/>
        <w:rPr>
          <w:rFonts w:ascii="Arial" w:hAnsi="Arial" w:cs="Arial"/>
          <w:bCs/>
          <w:sz w:val="24"/>
          <w:szCs w:val="24"/>
        </w:rPr>
      </w:pPr>
      <w:r>
        <w:rPr>
          <w:rFonts w:ascii="Arial" w:hAnsi="Arial" w:cs="Arial"/>
          <w:b/>
          <w:sz w:val="24"/>
          <w:szCs w:val="24"/>
        </w:rPr>
        <w:t>Accreditation:</w:t>
      </w:r>
    </w:p>
    <w:p w:rsidR="002A779F" w:rsidP="006C7647">
      <w:pPr>
        <w:spacing w:after="0" w:line="240" w:lineRule="auto"/>
        <w:contextualSpacing/>
        <w:rPr>
          <w:rFonts w:ascii="Arial" w:hAnsi="Arial" w:cs="Arial"/>
          <w:bCs/>
          <w:sz w:val="20"/>
          <w:szCs w:val="20"/>
        </w:rPr>
      </w:pPr>
    </w:p>
    <w:tbl>
      <w:tblPr>
        <w:tblStyle w:val="TableGrid1"/>
        <w:tblW w:w="0" w:type="auto"/>
        <w:tblBorders>
          <w:top w:val="nil"/>
          <w:left w:val="nil"/>
          <w:bottom w:val="nil"/>
          <w:right w:val="nil"/>
          <w:insideH w:val="nil"/>
          <w:insideV w:val="nil"/>
        </w:tblBorders>
        <w:tblLook w:val="04A0"/>
      </w:tblPr>
      <w:tblGrid>
        <w:gridCol w:w="2514"/>
        <w:gridCol w:w="7710"/>
      </w:tblGrid>
      <w:tr w:rsidTr="75606142">
        <w:tblPrEx>
          <w:tblW w:w="0" w:type="auto"/>
          <w:tblBorders>
            <w:top w:val="nil"/>
            <w:left w:val="nil"/>
            <w:bottom w:val="nil"/>
            <w:right w:val="nil"/>
            <w:insideH w:val="nil"/>
            <w:insideV w:val="nil"/>
          </w:tblBorders>
          <w:tblLook w:val="04A0"/>
        </w:tblPrEx>
        <w:tc>
          <w:tcPr>
            <w:tcW w:w="2515" w:type="dxa"/>
          </w:tcPr>
          <w:p w:rsidR="002A779F" w:rsidRPr="002A779F" w:rsidP="002A779F">
            <w:pPr>
              <w:spacing w:after="0" w:line="240" w:lineRule="auto"/>
              <w:contextualSpacing/>
              <w:rPr>
                <w:rFonts w:ascii="Arial" w:eastAsia="Times New Roman" w:hAnsi="Arial" w:cs="Arial"/>
                <w:szCs w:val="20"/>
              </w:rPr>
            </w:pPr>
            <w:r w:rsidRPr="002A779F">
              <w:rPr>
                <w:rFonts w:ascii="Arial" w:eastAsia="Times New Roman" w:hAnsi="Arial" w:cs="Arial"/>
                <w:noProof/>
                <w:sz w:val="20"/>
                <w:szCs w:val="20"/>
              </w:rPr>
              <w:drawing>
                <wp:inline distT="0" distB="0" distL="0" distR="0">
                  <wp:extent cx="1453515" cy="998855"/>
                  <wp:effectExtent l="0" t="0" r="0" b="0"/>
                  <wp:docPr id="6" name="Picture 6"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with medium confidence"/>
                          <pic:cNvPicPr/>
                        </pic:nvPicPr>
                        <pic:blipFill>
                          <a:blip xmlns:r="http://schemas.openxmlformats.org/officeDocument/2006/relationships" r:embed="rId5"/>
                          <a:stretch>
                            <a:fillRect/>
                          </a:stretch>
                        </pic:blipFill>
                        <pic:spPr>
                          <a:xfrm>
                            <a:off x="0" y="0"/>
                            <a:ext cx="1453515" cy="998855"/>
                          </a:xfrm>
                          <a:prstGeom prst="rect">
                            <a:avLst/>
                          </a:prstGeom>
                        </pic:spPr>
                      </pic:pic>
                    </a:graphicData>
                  </a:graphic>
                </wp:inline>
              </w:drawing>
            </w:r>
          </w:p>
        </w:tc>
        <w:tc>
          <w:tcPr>
            <w:tcW w:w="8275" w:type="dxa"/>
          </w:tcPr>
          <w:p w:rsidR="002A779F" w:rsidRPr="002A779F" w:rsidP="75606142">
            <w:pPr>
              <w:spacing w:after="0" w:line="240" w:lineRule="auto"/>
              <w:ind w:left="-22"/>
              <w:contextualSpacing/>
              <w:rPr>
                <w:rFonts w:ascii="Arial" w:eastAsia="Arial" w:hAnsi="Arial" w:cs="Arial"/>
                <w:sz w:val="18"/>
                <w:szCs w:val="18"/>
              </w:rPr>
            </w:pPr>
            <w:r w:rsidRPr="75606142">
              <w:rPr>
                <w:rFonts w:ascii="Hind" w:eastAsia="Hind" w:hAnsi="Hind" w:cs="Hind"/>
                <w:color w:val="212529"/>
                <w:sz w:val="18"/>
                <w:szCs w:val="18"/>
              </w:rPr>
              <w:t>In support of improving patient care, MaineHealth is jointly accredited by the Accreditation Council for Continuing Medical Education (ACCME), the Accreditation Council for Pharmacy Education (ACPE), and the American Nurses Credentialing Center (ANCC), to provide continuing education for the healthcare team. MaineHealth is also approved to accredit continuing education activities with the following credit types: Interprofessional Continuing Education (IPCE), Association of Social Work Boards (ASWB), American Academy of Physician Assistants (AAPA), American Psychological Association (APA), Registered Dietitians (RDs) and Dietetic Technicians, Registered (DTRs).</w:t>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1.00</w:instrText>
      </w:r>
      <w:r w:rsidRPr="002A779F">
        <w:rPr>
          <w:rFonts w:ascii="Arial" w:eastAsia="Times New Roman" w:hAnsi="Arial" w:cs="Arial"/>
          <w:sz w:val="18"/>
          <w:szCs w:val="18"/>
        </w:rPr>
        <w:instrText xml:space="preserve"> &gt; 0 "</w:instrText>
      </w:r>
    </w:p>
    <w:tbl>
      <w:tblPr>
        <w:tblStyle w:val="TableGrid1"/>
        <w:tblW w:w="0" w:type="auto"/>
        <w:tblBorders>
          <w:top w:val="nil"/>
          <w:left w:val="nil"/>
          <w:bottom w:val="nil"/>
          <w:right w:val="nil"/>
          <w:insideH w:val="nil"/>
          <w:insideV w:val="nil"/>
        </w:tblBorders>
        <w:tblLook w:val="04A0"/>
      </w:tblPr>
      <w:tblGrid>
        <w:gridCol w:w="8548"/>
        <w:gridCol w:w="1676"/>
      </w:tblGrid>
      <w:tr w:rsidTr="00E74D6A">
        <w:tblPrEx>
          <w:tblW w:w="0" w:type="auto"/>
          <w:tblBorders>
            <w:top w:val="nil"/>
            <w:left w:val="nil"/>
            <w:bottom w:val="nil"/>
            <w:right w:val="nil"/>
            <w:insideH w:val="nil"/>
            <w:insideV w:val="nil"/>
          </w:tblBorders>
          <w:tblLook w:val="04A0"/>
        </w:tblPrEx>
        <w:tc>
          <w:tcPr>
            <w:tcW w:w="9625" w:type="dxa"/>
          </w:tcPr>
          <w:p w:rsidR="002A779F" w:rsidRPr="002A779F" w:rsidP="002A779F">
            <w:pPr>
              <w:spacing w:after="0" w:line="240" w:lineRule="auto"/>
              <w:ind w:right="-84"/>
              <w:contextualSpacing/>
              <w:rPr>
                <w:rFonts w:ascii="Arial" w:eastAsia="Times New Roman" w:hAnsi="Arial" w:cs="Arial"/>
                <w:sz w:val="18"/>
                <w:szCs w:val="18"/>
              </w:rPr>
            </w:pPr>
            <w:r w:rsidRPr="002A779F">
              <w:rPr>
                <w:rFonts w:ascii="Arial" w:eastAsia="Times New Roman" w:hAnsi="Arial" w:cs="Arial"/>
                <w:sz w:val="18"/>
                <w:szCs w:val="18"/>
              </w:rPr>
              <w:instrText xml:space="preserve">This activity was planned by and for the healthcare team, and learners will receive </w:instrText>
            </w:r>
            <w:r w:rsidRPr="002A779F">
              <w:rPr>
                <w:rFonts w:ascii="Arial" w:eastAsia="Times New Roman" w:hAnsi="Arial" w:cs="Arial"/>
                <w:sz w:val="18"/>
                <w:szCs w:val="18"/>
              </w:rPr>
              <w:instrText>1.00</w:instrText>
            </w:r>
            <w:r w:rsidRPr="002A779F">
              <w:rPr>
                <w:rFonts w:ascii="Arial" w:eastAsia="Times New Roman" w:hAnsi="Arial" w:cs="Arial"/>
                <w:sz w:val="18"/>
                <w:szCs w:val="18"/>
              </w:rPr>
              <w:instrText xml:space="preserve"> Interprofessional Continuing Education (IPCE) credits for learning and change.</w:instrText>
            </w:r>
          </w:p>
        </w:tc>
        <w:tc>
          <w:tcPr>
            <w:tcW w:w="116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Cs w:val="20"/>
              </w:rPr>
              <w:drawing>
                <wp:inline distT="0" distB="0" distL="0" distR="0">
                  <wp:extent cx="927100" cy="662305"/>
                  <wp:effectExtent l="0" t="0" r="0" b="0"/>
                  <wp:docPr id="12" name="Picture 12"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PCE CREDIT TM"/>
                          <pic:cNvPicPr/>
                        </pic:nvPicPr>
                        <pic:blipFill>
                          <a:blip xmlns:r="http://schemas.openxmlformats.org/officeDocument/2006/relationships" r:embed="rId6"/>
                          <a:stretch>
                            <a:fillRect/>
                          </a:stretch>
                        </pic:blipFill>
                        <pic:spPr>
                          <a:xfrm>
                            <a:off x="0" y="0"/>
                            <a:ext cx="927100" cy="662305"/>
                          </a:xfrm>
                          <a:prstGeom prst="rect">
                            <a:avLst/>
                          </a:prstGeom>
                        </pic:spPr>
                      </pic:pic>
                    </a:graphicData>
                  </a:graphic>
                </wp:inline>
              </w:drawing>
            </w:r>
          </w:p>
        </w:tc>
      </w:tr>
    </w:tbl>
    <w:p w:rsidR="002A779F" w:rsidRPr="002A779F" w:rsidP="002A779F">
      <w:pPr>
        <w:spacing w:after="0" w:line="240" w:lineRule="auto"/>
        <w:contextualSpacing/>
        <w:rPr>
          <w:rFonts w:ascii="Times New Roman" w:eastAsia="Times New Roman" w:hAnsi="Times New Roman" w:cs="Times New Roman"/>
          <w:sz w:val="20"/>
          <w:szCs w:val="20"/>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p>
    <w:tbl>
      <w:tblPr>
        <w:tblStyle w:val="TableGrid1"/>
        <w:tblW w:w="0" w:type="auto"/>
        <w:tblBorders>
          <w:top w:val="nil"/>
          <w:left w:val="nil"/>
          <w:bottom w:val="nil"/>
          <w:right w:val="nil"/>
          <w:insideH w:val="nil"/>
          <w:insideV w:val="nil"/>
        </w:tblBorders>
        <w:tblLook w:val="04A0"/>
      </w:tblPr>
      <w:tblGrid>
        <w:gridCol w:w="8548"/>
        <w:gridCol w:w="1676"/>
      </w:tblGrid>
      <w:tr w:rsidTr="00E74D6A">
        <w:tblPrEx>
          <w:tblW w:w="0" w:type="auto"/>
          <w:tblBorders>
            <w:top w:val="nil"/>
            <w:left w:val="nil"/>
            <w:bottom w:val="nil"/>
            <w:right w:val="nil"/>
            <w:insideH w:val="nil"/>
            <w:insideV w:val="nil"/>
          </w:tblBorders>
          <w:tblLook w:val="04A0"/>
        </w:tblPrEx>
        <w:tc>
          <w:tcPr>
            <w:tcW w:w="9625" w:type="dxa"/>
          </w:tcPr>
          <w:p w:rsidR="002A779F" w:rsidRPr="002A779F" w:rsidP="002A779F">
            <w:pPr>
              <w:spacing w:after="0" w:line="240" w:lineRule="auto"/>
              <w:ind w:right="-84"/>
              <w:contextualSpacing/>
              <w:rPr>
                <w:rFonts w:ascii="Arial" w:eastAsia="Times New Roman" w:hAnsi="Arial" w:cs="Arial"/>
                <w:sz w:val="18"/>
                <w:szCs w:val="18"/>
              </w:rPr>
            </w:pPr>
            <w:r w:rsidRPr="002A779F">
              <w:rPr>
                <w:rFonts w:ascii="Arial" w:eastAsia="Times New Roman" w:hAnsi="Arial" w:cs="Arial"/>
                <w:sz w:val="18"/>
                <w:szCs w:val="18"/>
              </w:rPr>
              <w:t xml:space="preserve">This activity was planned by and for the healthcare team, and learners will receive </w:t>
            </w:r>
            <w:r w:rsidRPr="002A779F">
              <w:rPr>
                <w:rFonts w:ascii="Arial" w:eastAsia="Times New Roman" w:hAnsi="Arial" w:cs="Arial"/>
                <w:sz w:val="18"/>
                <w:szCs w:val="18"/>
              </w:rPr>
              <w:t>1.00</w:t>
            </w:r>
            <w:r w:rsidRPr="002A779F">
              <w:rPr>
                <w:rFonts w:ascii="Arial" w:eastAsia="Times New Roman" w:hAnsi="Arial" w:cs="Arial"/>
                <w:sz w:val="18"/>
                <w:szCs w:val="18"/>
              </w:rPr>
              <w:t xml:space="preserve"> Interprofessional Continuing Education (IPCE) credits for learning and change.</w:t>
            </w:r>
          </w:p>
        </w:tc>
        <w:tc>
          <w:tcPr>
            <w:tcW w:w="116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Cs w:val="20"/>
              </w:rPr>
              <w:drawing>
                <wp:inline distT="0" distB="0" distL="0" distR="0">
                  <wp:extent cx="927100" cy="662305"/>
                  <wp:effectExtent l="0" t="0" r="0" b="0"/>
                  <wp:docPr id="1092561870" name="Picture 12"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PCE CREDIT TM"/>
                          <pic:cNvPicPr/>
                        </pic:nvPicPr>
                        <pic:blipFill>
                          <a:blip xmlns:r="http://schemas.openxmlformats.org/officeDocument/2006/relationships" r:embed="rId6"/>
                          <a:stretch>
                            <a:fillRect/>
                          </a:stretch>
                        </pic:blipFill>
                        <pic:spPr>
                          <a:xfrm>
                            <a:off x="0" y="0"/>
                            <a:ext cx="927100" cy="662305"/>
                          </a:xfrm>
                          <a:prstGeom prst="rect">
                            <a:avLst/>
                          </a:prstGeom>
                        </pic:spPr>
                      </pic:pic>
                    </a:graphicData>
                  </a:graphic>
                </wp:inline>
              </w:drawing>
            </w:r>
          </w:p>
        </w:tc>
      </w:tr>
    </w:tbl>
    <w:p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end"/>
      </w:r>
    </w:p>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&gt; 0 "</w:instrText>
      </w:r>
    </w:p>
    <w:tbl>
      <w:tblPr>
        <w:tblStyle w:val="TableGrid1"/>
        <w:tblW w:w="0" w:type="auto"/>
        <w:tblBorders>
          <w:top w:val="nil"/>
          <w:left w:val="nil"/>
          <w:bottom w:val="nil"/>
          <w:right w:val="nil"/>
          <w:insideH w:val="nil"/>
          <w:insideV w:val="nil"/>
        </w:tblBorders>
        <w:tblLook w:val="04A0"/>
      </w:tblPr>
      <w:tblGrid>
        <w:gridCol w:w="7886"/>
        <w:gridCol w:w="2338"/>
      </w:tblGrid>
      <w:tr w:rsidTr="00E74D6A">
        <w:tblPrEx>
          <w:tblW w:w="0" w:type="auto"/>
          <w:tblBorders>
            <w:top w:val="nil"/>
            <w:left w:val="nil"/>
            <w:bottom w:val="nil"/>
            <w:right w:val="nil"/>
            <w:insideH w:val="nil"/>
            <w:insideV w:val="nil"/>
          </w:tblBorders>
          <w:tblLook w:val="04A0"/>
        </w:tblPrEx>
        <w:tc>
          <w:tcPr>
            <w:tcW w:w="9175" w:type="dxa"/>
          </w:tcPr>
          <w:p w:rsidR="002A779F" w:rsidRPr="002A779F" w:rsidP="002A779F">
            <w:pPr>
              <w:spacing w:after="0" w:line="240" w:lineRule="auto"/>
              <w:ind w:right="-25"/>
              <w:contextualSpacing/>
              <w:rPr>
                <w:rFonts w:ascii="Arial" w:eastAsia="Times New Roman" w:hAnsi="Arial" w:cs="Arial"/>
                <w:sz w:val="18"/>
                <w:szCs w:val="18"/>
              </w:rPr>
            </w:pPr>
            <w:r w:rsidRPr="002A779F">
              <w:rPr>
                <w:rFonts w:ascii="Arial" w:eastAsia="Times New Roman" w:hAnsi="Arial" w:cs="Arial"/>
                <w:sz w:val="18"/>
                <w:szCs w:val="18"/>
              </w:rPr>
              <w:instrText xml:space="preserve">As a Jointly Accredited Organization, MaineHealth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MaineHealth maintains responsibility for this course. Social workers completing this course receive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ASWBHours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 0.00#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continuing education credit(s).</w:instrText>
            </w:r>
          </w:p>
        </w:tc>
        <w:tc>
          <w:tcPr>
            <w:tcW w:w="161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1347470" cy="509905"/>
                  <wp:effectExtent l="0" t="0" r="0" b="0"/>
                  <wp:docPr id="15" name="Picture 15" descr="ASWB&#10;ACE&#10;approved continuing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SWB&#10;ACE&#10;approved continuing education"/>
                          <pic:cNvPicPr/>
                        </pic:nvPicPr>
                        <pic:blipFill>
                          <a:blip xmlns:r="http://schemas.openxmlformats.org/officeDocument/2006/relationships" r:embed="rId7"/>
                          <a:stretch>
                            <a:fillRect/>
                          </a:stretch>
                        </pic:blipFill>
                        <pic:spPr>
                          <a:xfrm>
                            <a:off x="0" y="0"/>
                            <a:ext cx="1347470" cy="509905"/>
                          </a:xfrm>
                          <a:prstGeom prst="rect">
                            <a:avLst/>
                          </a:prstGeom>
                        </pic:spPr>
                      </pic:pic>
                    </a:graphicData>
                  </a:graphic>
                </wp:inline>
              </w:drawing>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instrText>0</w:instrText>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&gt; 0 "</w:instrText>
      </w:r>
    </w:p>
    <w:tbl>
      <w:tblPr>
        <w:tblStyle w:val="TableGrid1"/>
        <w:tblW w:w="10260" w:type="dxa"/>
        <w:tblBorders>
          <w:top w:val="nil"/>
          <w:left w:val="nil"/>
          <w:bottom w:val="nil"/>
          <w:right w:val="nil"/>
          <w:insideH w:val="nil"/>
          <w:insideV w:val="nil"/>
        </w:tblBorders>
        <w:tblLook w:val="04A0"/>
      </w:tblPr>
      <w:tblGrid>
        <w:gridCol w:w="8730"/>
        <w:gridCol w:w="1530"/>
      </w:tblGrid>
      <w:tr w:rsidTr="00A43AB2">
        <w:tblPrEx>
          <w:tblW w:w="10260" w:type="dxa"/>
          <w:tblBorders>
            <w:top w:val="nil"/>
            <w:left w:val="nil"/>
            <w:bottom w:val="nil"/>
            <w:right w:val="nil"/>
            <w:insideH w:val="nil"/>
            <w:insideV w:val="nil"/>
          </w:tblBorders>
          <w:tblLook w:val="04A0"/>
        </w:tblPrEx>
        <w:tc>
          <w:tcPr>
            <w:tcW w:w="8730" w:type="dxa"/>
          </w:tcPr>
          <w:p w:rsidR="002A779F" w:rsidRPr="002A779F" w:rsidP="002A779F">
            <w:pPr>
              <w:spacing w:after="0" w:line="240" w:lineRule="auto"/>
              <w:ind w:right="-20"/>
              <w:contextualSpacing/>
              <w:rPr>
                <w:rFonts w:ascii="Arial" w:eastAsia="Times New Roman" w:hAnsi="Arial" w:cs="Arial"/>
                <w:sz w:val="18"/>
                <w:szCs w:val="18"/>
              </w:rPr>
            </w:pPr>
            <w:r w:rsidRPr="002A779F">
              <w:rPr>
                <w:rFonts w:ascii="Arial" w:eastAsia="Times New Roman" w:hAnsi="Arial" w:cs="Arial"/>
                <w:sz w:val="18"/>
                <w:szCs w:val="18"/>
              </w:rPr>
              <w:instrText xml:space="preserve">MaineHealth has been authorized by the American Academy of PAs (AAPA) to award AAPA Category 1 CME credit for activities planned in accordance with AAPA CME Criteria. This activity is designated for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AAPALiveHours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AAPAEndHours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0.00#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AAPA Category 1 CME credits.</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ActivityFormat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"Enduring Material" " Approval is valid until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EndTime \@ "MM/dd/yyyy"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PAs should only claim credit commensurate with the extent of their participation.</w:instrText>
            </w:r>
          </w:p>
        </w:tc>
        <w:tc>
          <w:tcPr>
            <w:tcW w:w="1530"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795528" cy="795528"/>
                  <wp:effectExtent l="0" t="0" r="5080" b="5080"/>
                  <wp:docPr id="17" name="Picture 17" descr="PA&#10;AAPA CATEGORY 1 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A&#10;AAPA CATEGORY 1 CME"/>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795528" cy="795528"/>
                          </a:xfrm>
                          <a:prstGeom prst="rect">
                            <a:avLst/>
                          </a:prstGeom>
                        </pic:spPr>
                      </pic:pic>
                    </a:graphicData>
                  </a:graphic>
                </wp:inline>
              </w:drawing>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&gt; 0 "</w:instrText>
      </w:r>
    </w:p>
    <w:tbl>
      <w:tblPr>
        <w:tblStyle w:val="TableGrid1"/>
        <w:tblW w:w="10260" w:type="dxa"/>
        <w:tblBorders>
          <w:top w:val="nil"/>
          <w:left w:val="nil"/>
          <w:bottom w:val="nil"/>
          <w:right w:val="nil"/>
          <w:insideH w:val="nil"/>
          <w:insideV w:val="nil"/>
        </w:tblBorders>
        <w:tblLook w:val="04A0"/>
      </w:tblPr>
      <w:tblGrid>
        <w:gridCol w:w="8284"/>
        <w:gridCol w:w="1976"/>
      </w:tblGrid>
      <w:tr w:rsidTr="00A43AB2">
        <w:tblPrEx>
          <w:tblW w:w="10260" w:type="dxa"/>
          <w:tblBorders>
            <w:top w:val="nil"/>
            <w:left w:val="nil"/>
            <w:bottom w:val="nil"/>
            <w:right w:val="nil"/>
            <w:insideH w:val="nil"/>
            <w:insideV w:val="nil"/>
          </w:tblBorders>
          <w:tblLook w:val="04A0"/>
        </w:tblPrEx>
        <w:tc>
          <w:tcPr>
            <w:tcW w:w="8814" w:type="dxa"/>
          </w:tcPr>
          <w:p w:rsidR="002A779F" w:rsidRPr="002A779F" w:rsidP="002A779F">
            <w:pPr>
              <w:spacing w:after="0" w:line="240" w:lineRule="auto"/>
              <w:ind w:right="-19"/>
              <w:contextualSpacing/>
              <w:rPr>
                <w:rFonts w:ascii="Arial" w:eastAsia="Times New Roman" w:hAnsi="Arial" w:cs="Arial"/>
                <w:sz w:val="18"/>
                <w:szCs w:val="18"/>
              </w:rPr>
            </w:pPr>
            <w:r w:rsidRPr="002A779F">
              <w:rPr>
                <w:rFonts w:ascii="Arial" w:eastAsia="Times New Roman" w:hAnsi="Arial" w:cs="Arial"/>
                <w:sz w:val="18"/>
                <w:szCs w:val="18"/>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p>
        </w:tc>
        <w:tc>
          <w:tcPr>
            <w:tcW w:w="1446"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1113155" cy="419100"/>
                  <wp:effectExtent l="0" t="0" r="4445" b="0"/>
                  <wp:docPr id="19" name="Picture 1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xmlns:r="http://schemas.openxmlformats.org/officeDocument/2006/relationships" r:embed="rId9"/>
                          <a:stretch>
                            <a:fillRect/>
                          </a:stretch>
                        </pic:blipFill>
                        <pic:spPr>
                          <a:xfrm>
                            <a:off x="0" y="0"/>
                            <a:ext cx="1113155" cy="419100"/>
                          </a:xfrm>
                          <a:prstGeom prst="rect">
                            <a:avLst/>
                          </a:prstGeom>
                        </pic:spPr>
                      </pic:pic>
                    </a:graphicData>
                  </a:graphic>
                </wp:inline>
              </w:drawing>
            </w:r>
          </w:p>
        </w:tc>
      </w:tr>
    </w:tbl>
    <w:p w:rsidR="00820EAE"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Pr>
          <w:rFonts w:ascii="Arial" w:eastAsia="Times New Roman" w:hAnsi="Arial" w:cs="Arial"/>
          <w:sz w:val="18"/>
          <w:szCs w:val="18"/>
        </w:rPr>
        <w:fldChar w:fldCharType="begin"/>
      </w:r>
      <w:r>
        <w:rPr>
          <w:rFonts w:ascii="Arial" w:eastAsia="Times New Roman" w:hAnsi="Arial" w:cs="Arial"/>
          <w:sz w:val="18"/>
          <w:szCs w:val="18"/>
        </w:rPr>
        <w:instrText xml:space="preserve"> IF </w:instrText>
      </w:r>
      <w:r>
        <w:rPr>
          <w:rFonts w:ascii="Arial" w:eastAsia="Times New Roman" w:hAnsi="Arial" w:cs="Arial"/>
          <w:sz w:val="18"/>
          <w:szCs w:val="18"/>
        </w:rPr>
        <w:instrText>0.00</w:instrText>
      </w:r>
      <w:r>
        <w:rPr>
          <w:rFonts w:ascii="Arial" w:eastAsia="Times New Roman" w:hAnsi="Arial" w:cs="Arial"/>
          <w:sz w:val="18"/>
          <w:szCs w:val="18"/>
        </w:rPr>
        <w:instrText xml:space="preserve"> &gt; 0 "</w:instrText>
      </w:r>
    </w:p>
    <w:p w:rsidR="002A779F" w:rsidRPr="002A779F" w:rsidP="002A779F">
      <w:pPr>
        <w:spacing w:after="0" w:line="240" w:lineRule="auto"/>
        <w:contextualSpacing/>
        <w:rPr>
          <w:rFonts w:ascii="Arial" w:eastAsia="Times New Roman" w:hAnsi="Arial" w:cs="Arial"/>
          <w:sz w:val="18"/>
          <w:szCs w:val="18"/>
        </w:rPr>
      </w:pPr>
      <w:r>
        <w:rPr>
          <w:rFonts w:ascii="Arial" w:eastAsia="Times New Roman" w:hAnsi="Arial" w:cs="Arial"/>
          <w:noProof/>
          <w:sz w:val="18"/>
          <w:szCs w:val="18"/>
        </w:rPr>
        <w:drawing>
          <wp:inline distT="0" distB="0" distL="0" distR="0">
            <wp:extent cx="6439897" cy="78434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6640257" cy="808749"/>
                    </a:xfrm>
                    <a:prstGeom prst="rect">
                      <a:avLst/>
                    </a:prstGeom>
                  </pic:spPr>
                </pic:pic>
              </a:graphicData>
            </a:graphic>
          </wp:inline>
        </w:drawing>
      </w:r>
      <w:r>
        <w:rPr>
          <w:rFonts w:ascii="Arial" w:eastAsia="Times New Roman" w:hAnsi="Arial" w:cs="Arial"/>
          <w:sz w:val="18"/>
          <w:szCs w:val="18"/>
        </w:rPr>
        <w:instrText xml:space="preserve">" "" </w:instrText>
      </w:r>
      <w:r>
        <w:rPr>
          <w:rFonts w:ascii="Arial" w:eastAsia="Times New Roman" w:hAnsi="Arial" w:cs="Arial"/>
          <w:sz w:val="18"/>
          <w:szCs w:val="18"/>
        </w:rPr>
        <w:fldChar w:fldCharType="separate"/>
      </w:r>
      <w:r>
        <w:rPr>
          <w:rFonts w:ascii="Arial" w:eastAsia="Times New Roman" w:hAnsi="Arial" w:cs="Arial"/>
          <w:sz w:val="18"/>
          <w:szCs w:val="18"/>
        </w:rPr>
        <w:fldChar w:fldCharType="end"/>
      </w:r>
    </w:p>
    <w:p w:rsidR="00386F24" w:rsidRPr="00386F24" w:rsidP="006C7647">
      <w:pPr>
        <w:spacing w:after="0" w:line="240" w:lineRule="auto"/>
        <w:contextualSpacing/>
        <w:rPr>
          <w:rFonts w:ascii="Arial" w:hAnsi="Arial" w:cs="Arial"/>
          <w:sz w:val="20"/>
          <w:szCs w:val="20"/>
        </w:rPr>
      </w:pPr>
    </w:p>
    <w:p w:rsidR="00DD5660" w:rsidP="00DD5660">
      <w:pPr>
        <w:contextualSpacing/>
        <w:rPr>
          <w:rFonts w:ascii="Arial" w:hAnsi="Arial" w:cs="Arial"/>
          <w:sz w:val="24"/>
          <w:szCs w:val="24"/>
        </w:rPr>
      </w:pPr>
      <w:r>
        <w:rPr>
          <w:rFonts w:ascii="Arial" w:hAnsi="Arial" w:cs="Arial"/>
          <w:b/>
          <w:sz w:val="24"/>
          <w:szCs w:val="24"/>
        </w:rPr>
        <w:t xml:space="preserve">Credit Designation: </w:t>
      </w:r>
      <w:r w:rsidRPr="009D238E" w:rsidR="00BB5386">
        <w:rPr>
          <w:rFonts w:ascii="Arial" w:hAnsi="Arial" w:cs="Arial"/>
          <w:sz w:val="24"/>
          <w:szCs w:val="24"/>
        </w:rPr>
        <w:t xml:space="preserve">Maine Medical Center </w:t>
      </w:r>
      <w:r w:rsidRPr="009D238E" w:rsidR="00993B4D">
        <w:rPr>
          <w:rFonts w:ascii="Arial" w:hAnsi="Arial" w:cs="Arial"/>
          <w:sz w:val="24"/>
          <w:szCs w:val="24"/>
        </w:rPr>
        <w:t>designates this educational activity for a maximum of</w:t>
      </w:r>
      <w:r w:rsidR="009D238E">
        <w:rPr>
          <w:rFonts w:ascii="Arial" w:hAnsi="Arial" w:cs="Arial"/>
          <w:sz w:val="24"/>
          <w:szCs w:val="24"/>
        </w:rPr>
        <w:t>:</w:t>
      </w:r>
      <w:r w:rsidRPr="009D238E" w:rsidR="00A43AB2">
        <w:rPr>
          <w:rFonts w:ascii="Arial" w:hAnsi="Arial" w:cs="Arial"/>
          <w:sz w:val="24"/>
          <w:szCs w:val="24"/>
        </w:rPr>
        <w:t xml:space="preserve"> </w:t>
      </w:r>
      <w:r w:rsidRPr="00A43AB2" w:rsidR="00A43AB2">
        <w:rPr>
          <w:rFonts w:ascii="Arial" w:eastAsia="Times New Roman" w:hAnsi="Arial" w:cs="Arial"/>
          <w:sz w:val="24"/>
          <w:szCs w:val="21"/>
        </w:rPr>
        <w:fldChar w:fldCharType="begin"/>
      </w:r>
      <w:r w:rsidRPr="009D238E" w:rsidR="00A43AB2">
        <w:rPr>
          <w:rFonts w:ascii="Arial" w:eastAsia="Times New Roman" w:hAnsi="Arial" w:cs="Arial"/>
          <w:sz w:val="24"/>
          <w:szCs w:val="21"/>
        </w:rPr>
        <w:instrText xml:space="preserve"> IF </w:instrText>
      </w:r>
      <w:r w:rsidRPr="009D238E" w:rsidR="00A43AB2">
        <w:rPr>
          <w:rFonts w:ascii="Arial" w:eastAsia="Times New Roman" w:hAnsi="Arial" w:cs="Arial"/>
          <w:sz w:val="24"/>
          <w:szCs w:val="21"/>
        </w:rPr>
        <w:instrText>1.00</w:instrText>
      </w:r>
      <w:r w:rsidRPr="009D238E" w:rsidR="00A43AB2">
        <w:rPr>
          <w:rFonts w:ascii="Arial" w:eastAsia="Times New Roman" w:hAnsi="Arial" w:cs="Arial"/>
          <w:sz w:val="24"/>
          <w:szCs w:val="21"/>
        </w:rPr>
        <w:instrText xml:space="preserve"> &gt; 0 "</w:instrText>
      </w:r>
      <w:r w:rsidR="009D238E">
        <w:rPr>
          <w:rFonts w:ascii="Arial" w:eastAsia="Times New Roman" w:hAnsi="Arial" w:cs="Arial"/>
          <w:sz w:val="24"/>
          <w:szCs w:val="21"/>
        </w:rPr>
        <w:instrText>1.00</w:instrText>
      </w:r>
      <w:r w:rsidR="009D238E">
        <w:rPr>
          <w:rFonts w:ascii="Arial" w:eastAsia="Times New Roman" w:hAnsi="Arial" w:cs="Arial"/>
          <w:sz w:val="24"/>
          <w:szCs w:val="21"/>
        </w:rPr>
        <w:instrText xml:space="preserve"> </w:instrText>
      </w:r>
      <w:r w:rsidRPr="00A43AB2" w:rsidR="00A43AB2">
        <w:rPr>
          <w:rFonts w:ascii="Arial" w:eastAsia="Times New Roman" w:hAnsi="Arial" w:cs="Arial"/>
          <w:iCs/>
          <w:sz w:val="24"/>
          <w:szCs w:val="21"/>
        </w:rPr>
        <w:instrText>Interprofessional Continuing Education Credit</w:instrText>
      </w:r>
      <w:r w:rsidR="009D238E">
        <w:rPr>
          <w:rFonts w:ascii="Arial" w:eastAsia="Times New Roman" w:hAnsi="Arial" w:cs="Arial"/>
          <w:iCs/>
          <w:sz w:val="24"/>
          <w:szCs w:val="21"/>
        </w:rPr>
        <w:instrText>(s);</w:instrText>
      </w:r>
      <w:r w:rsidR="00154A54">
        <w:rPr>
          <w:rFonts w:ascii="Arial" w:eastAsia="Times New Roman" w:hAnsi="Arial" w:cs="Arial"/>
          <w:iCs/>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009D238E">
        <w:rPr>
          <w:rFonts w:ascii="Arial" w:eastAsia="Times New Roman" w:hAnsi="Arial" w:cs="Arial"/>
          <w:sz w:val="24"/>
          <w:szCs w:val="21"/>
        </w:rPr>
        <w:t>1.00</w:t>
      </w:r>
      <w:r w:rsidR="009D238E">
        <w:rPr>
          <w:rFonts w:ascii="Arial" w:eastAsia="Times New Roman" w:hAnsi="Arial" w:cs="Arial"/>
          <w:sz w:val="24"/>
          <w:szCs w:val="21"/>
        </w:rPr>
        <w:t xml:space="preserve"> </w:t>
      </w:r>
      <w:r w:rsidRPr="00A43AB2" w:rsidR="00A43AB2">
        <w:rPr>
          <w:rFonts w:ascii="Arial" w:eastAsia="Times New Roman" w:hAnsi="Arial" w:cs="Arial"/>
          <w:iCs/>
          <w:sz w:val="24"/>
          <w:szCs w:val="21"/>
        </w:rPr>
        <w:t>Interprofessional Continuing Education Credit</w:t>
      </w:r>
      <w:r w:rsidR="009D238E">
        <w:rPr>
          <w:rFonts w:ascii="Arial" w:eastAsia="Times New Roman" w:hAnsi="Arial" w:cs="Arial"/>
          <w:iCs/>
          <w:sz w:val="24"/>
          <w:szCs w:val="21"/>
        </w:rPr>
        <w:t>(s);</w:t>
      </w:r>
      <w:r w:rsidR="00154A54">
        <w:rPr>
          <w:rFonts w:ascii="Arial" w:eastAsia="Times New Roman" w:hAnsi="Arial" w:cs="Arial"/>
          <w:iCs/>
          <w:sz w:val="24"/>
          <w:szCs w:val="21"/>
        </w:rPr>
        <w:t xml:space="preserve"> </w:t>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1.00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instrText>1.00</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i/>
          <w:iCs/>
          <w:sz w:val="24"/>
          <w:szCs w:val="21"/>
        </w:rPr>
        <w:instrText>AMA PRA Category 1 Credit(s)</w:instrText>
      </w:r>
      <w:r w:rsidRPr="00A43AB2" w:rsidR="00A43AB2">
        <w:rPr>
          <w:rFonts w:ascii="Arial" w:eastAsia="Times New Roman" w:hAnsi="Arial" w:cs="Arial"/>
          <w:iCs/>
          <w:sz w:val="24"/>
          <w:szCs w:val="21"/>
        </w:rPr>
        <w:instrText>™</w:instrText>
      </w:r>
      <w:r w:rsidR="00154A54">
        <w:rPr>
          <w:rFonts w:ascii="Arial" w:eastAsia="Times New Roman" w:hAnsi="Arial" w:cs="Arial"/>
          <w:iCs/>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00154A54">
        <w:rPr>
          <w:rFonts w:ascii="Arial" w:eastAsia="Times New Roman" w:hAnsi="Arial" w:cs="Arial"/>
          <w:sz w:val="24"/>
          <w:szCs w:val="21"/>
        </w:rPr>
        <w:t>1.00</w:t>
      </w:r>
      <w:r w:rsidR="00154A54">
        <w:rPr>
          <w:rFonts w:ascii="Arial" w:eastAsia="Times New Roman" w:hAnsi="Arial" w:cs="Arial"/>
          <w:sz w:val="24"/>
          <w:szCs w:val="21"/>
        </w:rPr>
        <w:t xml:space="preserve"> </w:t>
      </w:r>
      <w:r w:rsidRPr="00A43AB2" w:rsidR="00A43AB2">
        <w:rPr>
          <w:rFonts w:ascii="Arial" w:eastAsia="Times New Roman" w:hAnsi="Arial" w:cs="Arial"/>
          <w:i/>
          <w:iCs/>
          <w:sz w:val="24"/>
          <w:szCs w:val="21"/>
        </w:rPr>
        <w:t>AMA PRA Category 1 Credit(s)</w:t>
      </w:r>
      <w:r w:rsidRPr="00A43AB2" w:rsidR="00A43AB2">
        <w:rPr>
          <w:rFonts w:ascii="Arial" w:eastAsia="Times New Roman" w:hAnsi="Arial" w:cs="Arial"/>
          <w:iCs/>
          <w:sz w:val="24"/>
          <w:szCs w:val="21"/>
        </w:rPr>
        <w:t>™</w:t>
      </w:r>
      <w:r w:rsidR="00154A54">
        <w:rPr>
          <w:rFonts w:ascii="Arial" w:eastAsia="Times New Roman" w:hAnsi="Arial" w:cs="Arial"/>
          <w:iCs/>
          <w:sz w:val="24"/>
          <w:szCs w:val="21"/>
        </w:rPr>
        <w:t xml:space="preserve">; </w:t>
      </w:r>
      <w:r w:rsidRPr="00A43AB2" w:rsidR="00A43AB2">
        <w:rPr>
          <w:rFonts w:ascii="Arial" w:eastAsia="Times New Roman" w:hAnsi="Arial" w:cs="Arial"/>
          <w:sz w:val="24"/>
          <w:szCs w:val="21"/>
        </w:rPr>
        <w:fldChar w:fldCharType="end"/>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IF </w:instrText>
      </w:r>
      <w:r w:rsidR="00B37411">
        <w:rPr>
          <w:rFonts w:ascii="Arial" w:eastAsia="Times New Roman" w:hAnsi="Arial" w:cs="Arial"/>
          <w:sz w:val="24"/>
          <w:szCs w:val="21"/>
        </w:rPr>
        <w:instrText>0.00</w:instrText>
      </w:r>
      <w:r w:rsidR="00B37411">
        <w:rPr>
          <w:rFonts w:ascii="Arial" w:eastAsia="Times New Roman" w:hAnsi="Arial" w:cs="Arial"/>
          <w:sz w:val="24"/>
          <w:szCs w:val="21"/>
        </w:rPr>
        <w:instrText xml:space="preserve"> &gt; 0 "</w:instrText>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MERGEFIELD ACPEHoursMax \# 0.00#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fldChar w:fldCharType="end"/>
      </w:r>
      <w:r w:rsidR="00B37411">
        <w:rPr>
          <w:rFonts w:ascii="Arial" w:eastAsia="Times New Roman" w:hAnsi="Arial" w:cs="Arial"/>
          <w:sz w:val="24"/>
          <w:szCs w:val="21"/>
        </w:rPr>
        <w:instrText xml:space="preserve"> ACPE Credit(s); " ""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1.00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instrText>1.00</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ANCC Contact Hour(s)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00154A54">
        <w:rPr>
          <w:rFonts w:ascii="Arial" w:eastAsia="Times New Roman" w:hAnsi="Arial" w:cs="Arial"/>
          <w:sz w:val="24"/>
          <w:szCs w:val="21"/>
        </w:rPr>
        <w:t>1.00</w:t>
      </w:r>
      <w:r w:rsidR="00154A54">
        <w:rPr>
          <w:rFonts w:ascii="Arial" w:eastAsia="Times New Roman" w:hAnsi="Arial" w:cs="Arial"/>
          <w:sz w:val="24"/>
          <w:szCs w:val="21"/>
        </w:rPr>
        <w:t xml:space="preserve"> </w:t>
      </w:r>
      <w:r w:rsidRPr="00A43AB2" w:rsidR="00A43AB2">
        <w:rPr>
          <w:rFonts w:ascii="Arial" w:eastAsia="Times New Roman" w:hAnsi="Arial" w:cs="Arial"/>
          <w:sz w:val="24"/>
          <w:szCs w:val="21"/>
        </w:rPr>
        <w:t>ANCC Contact Hour(s)</w:t>
      </w:r>
      <w:r w:rsidR="00154A54">
        <w:rPr>
          <w:rFonts w:ascii="Arial" w:eastAsia="Times New Roman" w:hAnsi="Arial" w:cs="Arial"/>
          <w:sz w:val="24"/>
          <w:szCs w:val="21"/>
        </w:rPr>
        <w:t xml:space="preserve">; </w:t>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ASWBHoursMax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Social Work Continuing Education Credit(s)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instrText>0</w:instrText>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AAPALiveHoursMax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AAPAEndHoursMax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4"/>
        </w:rPr>
        <w:instrText>AAPA Category 1 CME Credit(s</w:instrText>
      </w:r>
      <w:r w:rsidR="00154A54">
        <w:rPr>
          <w:rFonts w:ascii="Arial" w:eastAsia="Times New Roman" w:hAnsi="Arial" w:cs="Arial"/>
          <w:sz w:val="24"/>
          <w:szCs w:val="24"/>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APAHoursMax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APA CE Credit(s)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00820EAE">
        <w:rPr>
          <w:rFonts w:ascii="Arial" w:eastAsia="Times New Roman" w:hAnsi="Arial" w:cs="Arial"/>
          <w:sz w:val="24"/>
          <w:szCs w:val="21"/>
        </w:rPr>
        <w:fldChar w:fldCharType="begin"/>
      </w:r>
      <w:r w:rsidR="00820EAE">
        <w:rPr>
          <w:rFonts w:ascii="Arial" w:eastAsia="Times New Roman" w:hAnsi="Arial" w:cs="Arial"/>
          <w:sz w:val="24"/>
          <w:szCs w:val="21"/>
        </w:rPr>
        <w:instrText xml:space="preserve"> IF </w:instrText>
      </w:r>
      <w:r w:rsidR="00820EAE">
        <w:rPr>
          <w:rFonts w:ascii="Arial" w:eastAsia="Times New Roman" w:hAnsi="Arial" w:cs="Arial"/>
          <w:sz w:val="24"/>
          <w:szCs w:val="21"/>
        </w:rPr>
        <w:instrText>0.00</w:instrText>
      </w:r>
      <w:r w:rsidR="00820EAE">
        <w:rPr>
          <w:rFonts w:ascii="Arial" w:eastAsia="Times New Roman" w:hAnsi="Arial" w:cs="Arial"/>
          <w:sz w:val="24"/>
          <w:szCs w:val="21"/>
        </w:rPr>
        <w:instrText xml:space="preserve"> &gt; 0 "</w:instrText>
      </w:r>
      <w:r w:rsidR="00820EAE">
        <w:rPr>
          <w:rFonts w:ascii="Arial" w:eastAsia="Times New Roman" w:hAnsi="Arial" w:cs="Arial"/>
          <w:sz w:val="24"/>
          <w:szCs w:val="21"/>
        </w:rPr>
        <w:fldChar w:fldCharType="begin"/>
      </w:r>
      <w:r w:rsidR="00820EAE">
        <w:rPr>
          <w:rFonts w:ascii="Arial" w:eastAsia="Times New Roman" w:hAnsi="Arial" w:cs="Arial"/>
          <w:sz w:val="24"/>
          <w:szCs w:val="21"/>
        </w:rPr>
        <w:instrText xml:space="preserve"> MERGEFIELD CDRHoursMax \# 0.00# </w:instrText>
      </w:r>
      <w:r w:rsidR="00820EAE">
        <w:rPr>
          <w:rFonts w:ascii="Arial" w:eastAsia="Times New Roman" w:hAnsi="Arial" w:cs="Arial"/>
          <w:sz w:val="24"/>
          <w:szCs w:val="21"/>
        </w:rPr>
        <w:fldChar w:fldCharType="separate"/>
      </w:r>
      <w:r w:rsidR="00820EAE">
        <w:rPr>
          <w:rFonts w:ascii="Arial" w:eastAsia="Times New Roman" w:hAnsi="Arial" w:cs="Arial"/>
          <w:sz w:val="24"/>
          <w:szCs w:val="21"/>
        </w:rPr>
        <w:fldChar w:fldCharType="end"/>
      </w:r>
      <w:r w:rsidR="00820EAE">
        <w:rPr>
          <w:rFonts w:ascii="Arial" w:eastAsia="Times New Roman" w:hAnsi="Arial" w:cs="Arial"/>
          <w:sz w:val="24"/>
          <w:szCs w:val="21"/>
        </w:rPr>
        <w:instrText xml:space="preserve"> CDR Credit(s); " "" </w:instrText>
      </w:r>
      <w:r w:rsidR="00820EAE">
        <w:rPr>
          <w:rFonts w:ascii="Arial" w:eastAsia="Times New Roman" w:hAnsi="Arial" w:cs="Arial"/>
          <w:sz w:val="24"/>
          <w:szCs w:val="21"/>
        </w:rPr>
        <w:fldChar w:fldCharType="separate"/>
      </w:r>
      <w:r w:rsidR="00820EAE">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ABIM2HoursMax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ABIM MOC Part 2 Point(s)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ABP2HoursMax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ABP MOC Part 2 Point(s)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Pr>
          <w:rFonts w:ascii="Arial" w:eastAsia="Times New Roman" w:hAnsi="Arial" w:cs="Arial"/>
          <w:sz w:val="24"/>
          <w:szCs w:val="21"/>
        </w:rPr>
        <w:fldChar w:fldCharType="begin"/>
      </w:r>
      <w:r>
        <w:rPr>
          <w:rFonts w:ascii="Arial" w:eastAsia="Times New Roman" w:hAnsi="Arial" w:cs="Arial"/>
          <w:sz w:val="24"/>
          <w:szCs w:val="21"/>
        </w:rPr>
        <w:instrText xml:space="preserve"> MERGEFIELD ABA2HoursMax \# 0.00# </w:instrText>
      </w:r>
      <w:r>
        <w:rPr>
          <w:rFonts w:ascii="Arial" w:eastAsia="Times New Roman" w:hAnsi="Arial" w:cs="Arial"/>
          <w:sz w:val="24"/>
          <w:szCs w:val="21"/>
        </w:rPr>
        <w:fldChar w:fldCharType="separate"/>
      </w:r>
      <w:r>
        <w:rPr>
          <w:rFonts w:ascii="Arial" w:eastAsia="Times New Roman" w:hAnsi="Arial" w:cs="Arial"/>
          <w:sz w:val="24"/>
          <w:szCs w:val="21"/>
        </w:rPr>
        <w:fldChar w:fldCharType="end"/>
      </w:r>
      <w:r>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ABA MOC Part II Point(s)</w:instrText>
      </w:r>
      <w:r>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9D238E"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Pr>
          <w:rFonts w:ascii="Arial" w:eastAsia="Times New Roman" w:hAnsi="Arial" w:cs="Arial"/>
          <w:sz w:val="24"/>
          <w:szCs w:val="21"/>
        </w:rPr>
        <w:fldChar w:fldCharType="begin"/>
      </w:r>
      <w:r>
        <w:rPr>
          <w:rFonts w:ascii="Arial" w:eastAsia="Times New Roman" w:hAnsi="Arial" w:cs="Arial"/>
          <w:sz w:val="24"/>
          <w:szCs w:val="21"/>
        </w:rPr>
        <w:instrText xml:space="preserve"> MERGEFIELD ABPathHoursMax \# 0.00# </w:instrText>
      </w:r>
      <w:r>
        <w:rPr>
          <w:rFonts w:ascii="Arial" w:eastAsia="Times New Roman" w:hAnsi="Arial" w:cs="Arial"/>
          <w:sz w:val="24"/>
          <w:szCs w:val="21"/>
        </w:rPr>
        <w:fldChar w:fldCharType="separate"/>
      </w:r>
      <w:r>
        <w:rPr>
          <w:rFonts w:ascii="Arial" w:eastAsia="Times New Roman" w:hAnsi="Arial" w:cs="Arial"/>
          <w:sz w:val="24"/>
          <w:szCs w:val="21"/>
        </w:rPr>
        <w:fldChar w:fldCharType="end"/>
      </w:r>
      <w:r>
        <w:rPr>
          <w:rFonts w:ascii="Arial" w:eastAsia="Times New Roman" w:hAnsi="Arial" w:cs="Arial"/>
          <w:sz w:val="24"/>
          <w:szCs w:val="21"/>
        </w:rPr>
        <w:instrText xml:space="preserve"> </w:instrText>
      </w:r>
      <w:r w:rsidRPr="009D238E" w:rsidR="00A43AB2">
        <w:rPr>
          <w:rFonts w:ascii="Arial" w:eastAsia="Times New Roman" w:hAnsi="Arial" w:cs="Arial"/>
          <w:sz w:val="24"/>
          <w:szCs w:val="21"/>
        </w:rPr>
        <w:instrText>MOC ABPath Point(s)</w:instrText>
      </w:r>
      <w:r>
        <w:rPr>
          <w:rFonts w:ascii="Arial" w:eastAsia="Times New Roman" w:hAnsi="Arial" w:cs="Arial"/>
          <w:sz w:val="24"/>
          <w:szCs w:val="21"/>
        </w:rPr>
        <w:instrText xml:space="preserve">; </w:instrText>
      </w:r>
      <w:r w:rsidRPr="009D238E" w:rsidR="00A43AB2">
        <w:rPr>
          <w:rFonts w:ascii="Arial" w:eastAsia="Times New Roman" w:hAnsi="Arial" w:cs="Arial"/>
          <w:sz w:val="24"/>
          <w:szCs w:val="21"/>
        </w:rPr>
        <w:instrText xml:space="preserve">" "" </w:instrText>
      </w:r>
      <w:r w:rsidRPr="009D238E" w:rsidR="00A43AB2">
        <w:rPr>
          <w:rFonts w:ascii="Arial" w:eastAsia="Times New Roman" w:hAnsi="Arial" w:cs="Arial"/>
          <w:sz w:val="24"/>
          <w:szCs w:val="21"/>
        </w:rPr>
        <w:fldChar w:fldCharType="separate"/>
      </w:r>
      <w:r w:rsidRPr="009D238E" w:rsidR="00A43AB2">
        <w:rPr>
          <w:rFonts w:ascii="Arial" w:eastAsia="Times New Roman" w:hAnsi="Arial" w:cs="Arial"/>
          <w:sz w:val="24"/>
          <w:szCs w:val="21"/>
        </w:rPr>
        <w:fldChar w:fldCharType="end"/>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IF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&gt; 0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Non-Physician Credit(s); " ""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t>1.00</w:t>
      </w:r>
      <w:r w:rsidR="00B37411">
        <w:rPr>
          <w:rFonts w:ascii="Arial" w:eastAsia="Times New Roman" w:hAnsi="Arial" w:cs="Arial"/>
          <w:sz w:val="24"/>
          <w:szCs w:val="21"/>
        </w:rPr>
        <w:t xml:space="preserve"> Non-Physician Credit(s); </w:t>
      </w:r>
      <w:r w:rsidR="00B37411">
        <w:rPr>
          <w:rFonts w:ascii="Arial" w:eastAsia="Times New Roman" w:hAnsi="Arial" w:cs="Arial"/>
          <w:sz w:val="24"/>
          <w:szCs w:val="21"/>
        </w:rPr>
        <w:fldChar w:fldCharType="end"/>
      </w:r>
    </w:p>
    <w:p w:rsidR="00DD5660" w:rsidRPr="00DD5660" w:rsidP="00DD5660">
      <w:pPr>
        <w:contextualSpacing/>
        <w:rPr>
          <w:rFonts w:ascii="Arial" w:hAnsi="Arial" w:cs="Arial"/>
          <w:sz w:val="20"/>
          <w:szCs w:val="20"/>
        </w:rPr>
      </w:pPr>
    </w:p>
    <w:p w:rsidR="00A57FC9" w:rsidP="006C7647">
      <w:pPr>
        <w:spacing w:after="0" w:line="240" w:lineRule="auto"/>
        <w:contextualSpacing/>
        <w:rPr>
          <w:rFonts w:ascii="Arial" w:hAnsi="Arial" w:cs="Arial"/>
          <w:b/>
          <w:sz w:val="24"/>
          <w:szCs w:val="24"/>
        </w:rPr>
      </w:pPr>
      <w:r>
        <w:rPr>
          <w:rFonts w:ascii="Arial" w:hAnsi="Arial" w:cs="Arial"/>
          <w:b/>
          <w:sz w:val="24"/>
          <w:szCs w:val="24"/>
        </w:rPr>
        <w:t>Disclosure of Financial Relationships:</w:t>
      </w:r>
    </w:p>
    <w:p w:rsidR="00A57FC9" w:rsidP="006C7647">
      <w:pPr>
        <w:spacing w:after="0" w:line="240" w:lineRule="auto"/>
        <w:contextualSpacing/>
        <w:rPr>
          <w:rFonts w:ascii="Arial" w:hAnsi="Arial" w:cs="Arial"/>
          <w:sz w:val="24"/>
          <w:szCs w:val="24"/>
        </w:rPr>
      </w:pPr>
      <w:r>
        <w:rPr>
          <w:rFonts w:ascii="Arial" w:hAnsi="Arial" w:cs="Arial"/>
          <w:sz w:val="24"/>
          <w:szCs w:val="24"/>
        </w:rPr>
        <w:t>The following planners, moderators or speakers have the following financial relationship(s) with commercial interests to disclose:</w:t>
      </w:r>
    </w:p>
    <w:p w:rsidR="00386F24" w:rsidRPr="00386F24" w:rsidP="006C7647">
      <w:pPr>
        <w:spacing w:after="0" w:line="240" w:lineRule="auto"/>
        <w:contextualSpacing/>
        <w:rPr>
          <w:rFonts w:ascii="Arial" w:hAnsi="Arial" w:cs="Arial"/>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040"/>
        <w:gridCol w:w="3040"/>
        <w:gridCol w:w="405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 Bruno, RN, MSN RN CPN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Micheline Chipman,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Kaylee Leclerc,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Mallory,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Misty Melendi,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Seften, BS/JD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E Zanno,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- 08/06/2026</w:t>
            </w:r>
          </w:p>
        </w:tc>
      </w:tr>
    </w:tbl>
    <w:p w:rsidR="00552F5E" w:rsidRPr="00386F24">
      <w:pPr>
        <w:bidi w:val="0"/>
        <w:spacing w:after="280" w:afterAutospacing="1"/>
        <w:rPr>
          <w:rFonts w:ascii="Arial" w:hAnsi="Arial" w:cs="Arial"/>
          <w:sz w:val="24"/>
          <w:szCs w:val="24"/>
        </w:rPr>
      </w:pPr>
    </w:p>
    <w:sectPr w:rsidSect="00386F24">
      <w:pgSz w:w="12240" w:h="15840"/>
      <w:pgMar w:top="108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 w:name="Hin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 w:type="table" w:customStyle="1" w:styleId="TableGrid1">
    <w:name w:val="Table Grid1"/>
    <w:basedOn w:val="TableNormal"/>
    <w:next w:val="TableGrid"/>
    <w:rsid w:val="002A779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639e86e3-c6cb-4009-9315-13e2c40ba069}" enabled="1" method="Standard" siteId="{acbd2f92-746c-49e2-8f2b-a3cd9620885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798</Words>
  <Characters>4550</Characters>
  <Application>Microsoft Office Word</Application>
  <DocSecurity>0</DocSecurity>
  <Lines>37</Lines>
  <Paragraphs>10</Paragraphs>
  <ScaleCrop>false</ScaleCrop>
  <Company>A</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Stanley, Laura</cp:lastModifiedBy>
  <cp:revision>2</cp:revision>
  <dcterms:created xsi:type="dcterms:W3CDTF">2026-05-14T16:41:00Z</dcterms:created>
  <dcterms:modified xsi:type="dcterms:W3CDTF">2026-05-14T16:41:00Z</dcterms:modified>
</cp:coreProperties>
</file>