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07BF0" w:rsidP="75606142">
      <w:pPr>
        <w:spacing w:after="0" w:line="240" w:lineRule="auto"/>
        <w:contextualSpacing/>
        <w:jc w:val="center"/>
      </w:pPr>
      <w:r>
        <w:rPr>
          <w:noProof/>
        </w:rPr>
        <w:drawing>
          <wp:inline distT="0" distB="0" distL="0" distR="0">
            <wp:extent cx="3876675" cy="540006"/>
            <wp:effectExtent l="0" t="0" r="0" b="0"/>
            <wp:docPr id="14797065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06574" name="Picture 1479706574"/>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3876675" cy="540006"/>
                    </a:xfrm>
                    <a:prstGeom prst="rect">
                      <a:avLst/>
                    </a:prstGeom>
                  </pic:spPr>
                </pic:pic>
              </a:graphicData>
            </a:graphic>
          </wp:inline>
        </w:drawing>
      </w:r>
    </w:p>
    <w:p w:rsidR="00DB705B" w:rsidP="006C7647">
      <w:pPr>
        <w:spacing w:after="0" w:line="240" w:lineRule="auto"/>
        <w:contextualSpacing/>
        <w:jc w:val="center"/>
        <w:rPr>
          <w:sz w:val="40"/>
          <w:szCs w:val="40"/>
        </w:rPr>
      </w:pPr>
    </w:p>
    <w:p w:rsidR="00820EAE" w:rsidRPr="00820EAE" w:rsidP="006C7647">
      <w:pPr>
        <w:spacing w:after="0" w:line="240" w:lineRule="auto"/>
        <w:contextualSpacing/>
        <w:jc w:val="center"/>
        <w:rPr>
          <w:sz w:val="32"/>
          <w:szCs w:val="32"/>
        </w:rPr>
      </w:pPr>
      <w:r w:rsidRPr="00820EAE">
        <w:rPr>
          <w:sz w:val="32"/>
          <w:szCs w:val="32"/>
        </w:rPr>
        <w:fldChar w:fldCharType="begin"/>
      </w:r>
      <w:r w:rsidRPr="00820EAE">
        <w:rPr>
          <w:sz w:val="32"/>
          <w:szCs w:val="32"/>
        </w:rPr>
        <w:instrText xml:space="preserve"> IF </w:instrText>
      </w:r>
      <w:r w:rsidRPr="00820EAE">
        <w:rPr>
          <w:sz w:val="32"/>
          <w:szCs w:val="32"/>
        </w:rPr>
        <w:instrText>"</w:instrText>
      </w:r>
      <w:r w:rsidRPr="00820EAE">
        <w:rPr>
          <w:sz w:val="32"/>
          <w:szCs w:val="32"/>
        </w:rPr>
        <w:instrText>"</w:instrText>
      </w:r>
      <w:r w:rsidRPr="00820EAE">
        <w:rPr>
          <w:sz w:val="32"/>
          <w:szCs w:val="32"/>
        </w:rPr>
        <w:instrText xml:space="preserve"> &lt;&gt; "" "</w:instrText>
      </w:r>
      <w:r w:rsidRPr="00820EAE">
        <w:rPr>
          <w:sz w:val="40"/>
          <w:szCs w:val="40"/>
        </w:rPr>
        <w:fldChar w:fldCharType="begin"/>
      </w:r>
      <w:r w:rsidRPr="00820EAE">
        <w:rPr>
          <w:sz w:val="40"/>
          <w:szCs w:val="40"/>
        </w:rPr>
        <w:instrText xml:space="preserve"> MERGEFIELD ParentName </w:instrText>
      </w:r>
      <w:r w:rsidRPr="00820EAE">
        <w:rPr>
          <w:sz w:val="40"/>
          <w:szCs w:val="40"/>
        </w:rPr>
        <w:fldChar w:fldCharType="separate"/>
      </w:r>
      <w:r w:rsidR="00875345">
        <w:rPr>
          <w:noProof/>
          <w:sz w:val="40"/>
          <w:szCs w:val="40"/>
        </w:rPr>
        <w:instrText>«ParentName»</w:instrText>
      </w:r>
      <w:r w:rsidRPr="00820EAE">
        <w:rPr>
          <w:sz w:val="40"/>
          <w:szCs w:val="40"/>
        </w:rPr>
        <w:fldChar w:fldCharType="end"/>
      </w:r>
    </w:p>
    <w:p w:rsidR="00875345" w:rsidRPr="00820EAE" w:rsidP="006C7647">
      <w:pPr>
        <w:spacing w:after="0" w:line="240" w:lineRule="auto"/>
        <w:contextualSpacing/>
        <w:jc w:val="center"/>
        <w:rPr>
          <w:noProof/>
          <w:sz w:val="32"/>
          <w:szCs w:val="32"/>
        </w:rPr>
      </w:pPr>
      <w:r w:rsidRPr="00820EAE">
        <w:rPr>
          <w:sz w:val="32"/>
          <w:szCs w:val="32"/>
        </w:rPr>
        <w:fldChar w:fldCharType="begin"/>
      </w:r>
      <w:r w:rsidRPr="00820EAE">
        <w:rPr>
          <w:sz w:val="32"/>
          <w:szCs w:val="32"/>
        </w:rPr>
        <w:instrText xml:space="preserve"> MERGEFIELD </w:instrText>
      </w:r>
      <w:r>
        <w:rPr>
          <w:sz w:val="32"/>
          <w:szCs w:val="32"/>
        </w:rPr>
        <w:instrText>EventName</w:instrText>
      </w:r>
      <w:r w:rsidRPr="00820EAE">
        <w:rPr>
          <w:sz w:val="32"/>
          <w:szCs w:val="32"/>
        </w:rPr>
        <w:instrText xml:space="preserve"> </w:instrText>
      </w:r>
      <w:r w:rsidRPr="00820EAE">
        <w:rPr>
          <w:sz w:val="32"/>
          <w:szCs w:val="32"/>
        </w:rPr>
        <w:fldChar w:fldCharType="separate"/>
      </w:r>
      <w:r>
        <w:rPr>
          <w:noProof/>
          <w:sz w:val="32"/>
          <w:szCs w:val="32"/>
        </w:rPr>
        <w:instrText>«EventName»</w:instrText>
      </w:r>
      <w:r w:rsidRPr="00820EAE">
        <w:rPr>
          <w:sz w:val="32"/>
          <w:szCs w:val="32"/>
        </w:rPr>
        <w:fldChar w:fldCharType="end"/>
      </w:r>
      <w:r w:rsidRPr="00820EAE">
        <w:rPr>
          <w:sz w:val="32"/>
          <w:szCs w:val="32"/>
        </w:rPr>
        <w:instrText>" "</w:instrText>
      </w:r>
      <w:r>
        <w:rPr>
          <w:sz w:val="40"/>
          <w:szCs w:val="40"/>
        </w:rPr>
        <w:instrText>Pharmacy Grand Rounds</w:instrText>
      </w:r>
      <w:r w:rsidRPr="00820EAE">
        <w:rPr>
          <w:sz w:val="32"/>
          <w:szCs w:val="32"/>
        </w:rPr>
        <w:instrText xml:space="preserve">" </w:instrText>
      </w:r>
      <w:r w:rsidRPr="00820EAE">
        <w:rPr>
          <w:sz w:val="32"/>
          <w:szCs w:val="32"/>
        </w:rPr>
        <w:fldChar w:fldCharType="separate"/>
      </w:r>
      <w:r>
        <w:rPr>
          <w:sz w:val="40"/>
          <w:szCs w:val="40"/>
        </w:rPr>
        <w:t>Pharmacy Grand Rounds</w:t>
      </w:r>
      <w:r w:rsidRPr="00820EAE" w:rsidR="00820EAE">
        <w:rPr>
          <w:sz w:val="32"/>
          <w:szCs w:val="32"/>
        </w:rPr>
        <w:fldChar w:fldCharType="end"/>
      </w:r>
      <w:r w:rsidRPr="00EA029C" w:rsidR="00B3131A">
        <w:rPr>
          <w:rFonts w:ascii="Arial" w:hAnsi="Arial"/>
          <w:bCs/>
          <w:noProof/>
          <w:color w:val="17365D" w:themeColor="text2" w:themeShade="BF"/>
        </w:rPr>
        <w:fldChar w:fldCharType="begin"/>
      </w:r>
      <w:r w:rsidRPr="00EA029C" w:rsidR="00B3131A">
        <w:rPr>
          <w:rFonts w:ascii="Arial" w:hAnsi="Arial"/>
          <w:bCs/>
          <w:noProof/>
          <w:color w:val="17365D" w:themeColor="text2" w:themeShade="BF"/>
        </w:rPr>
        <w:instrText xml:space="preserve"> IF </w:instrText>
      </w:r>
      <w:r w:rsidR="004021DF">
        <w:rPr>
          <w:rFonts w:ascii="Arial" w:hAnsi="Arial"/>
          <w:bCs/>
          <w:noProof/>
          <w:color w:val="17365D" w:themeColor="text2" w:themeShade="BF"/>
        </w:rPr>
        <w:instrText>"</w:instrText>
      </w:r>
      <w:r>
        <w:rPr>
          <w:rtl w:val="0"/>
        </w:rPr>
        <w:instrText>Pharmacy Grand Rounds is a monthly educational series for pharmacists, pharmacy technicians, and other interested healthcare professionals. The purpose is to present current guidelines for medication management of a variety of disease states, provide updates on new and innovative developments in pharmacotherapy research and technology, and address therapeutic dilemmas and controversies in medication management that health professionals face.</w:instrText>
      </w:r>
      <w:r w:rsidR="004021DF">
        <w:rPr>
          <w:rFonts w:ascii="Arial" w:hAnsi="Arial"/>
          <w:bCs/>
          <w:noProof/>
          <w:color w:val="17365D" w:themeColor="text2" w:themeShade="BF"/>
        </w:rPr>
        <w:instrText>"</w:instrText>
      </w:r>
      <w:r w:rsidRPr="00EA029C" w:rsidR="00B3131A">
        <w:rPr>
          <w:rFonts w:ascii="Arial" w:hAnsi="Arial"/>
          <w:bCs/>
          <w:noProof/>
          <w:color w:val="17365D" w:themeColor="text2" w:themeShade="BF"/>
        </w:rPr>
        <w:instrText xml:space="preserve"> &lt;&gt; "" "</w:instrText>
      </w:r>
    </w:p>
    <w:p w:rsidR="000F5D19" w:rsidP="006C7647">
      <w:pPr>
        <w:spacing w:after="0" w:line="240" w:lineRule="auto"/>
        <w:contextualSpacing/>
        <w:jc w:val="center"/>
        <w:rPr>
          <w:rFonts w:ascii="Arial" w:hAnsi="Arial"/>
          <w:bCs/>
          <w:noProof/>
          <w:color w:val="17365D" w:themeColor="text2" w:themeShade="BF"/>
          <w:sz w:val="20"/>
          <w:szCs w:val="20"/>
        </w:rPr>
      </w:pPr>
    </w:p>
    <w:p w:rsidR="000F5D19" w:rsidP="006C7647">
      <w:pPr>
        <w:spacing w:after="0" w:line="240" w:lineRule="auto"/>
        <w:contextualSpacing/>
        <w:jc w:val="center"/>
        <w:rPr>
          <w:rFonts w:ascii="Arial" w:hAnsi="Arial"/>
          <w:bCs/>
          <w:noProof/>
          <w:color w:val="17365D" w:themeColor="text2" w:themeShade="BF"/>
          <w:sz w:val="20"/>
          <w:szCs w:val="20"/>
        </w:rPr>
      </w:pPr>
    </w:p>
    <w:p w:rsidR="00875345" w:rsidP="006C7647">
      <w:pPr>
        <w:spacing w:after="0" w:line="240" w:lineRule="auto"/>
        <w:contextualSpacing/>
        <w:jc w:val="center"/>
        <w:rPr>
          <w:rFonts w:ascii="Arial" w:hAnsi="Arial"/>
          <w:bCs/>
          <w:noProof/>
          <w:color w:val="17365D" w:themeColor="text2" w:themeShade="BF"/>
          <w:sz w:val="20"/>
          <w:szCs w:val="20"/>
        </w:rPr>
      </w:pPr>
      <w:r>
        <w:rPr>
          <w:rtl w:val="0"/>
        </w:rPr>
        <w:instrText>Pharmacy Grand Rounds is a monthly educational series for pharmacists, pharmacy technicians, and other interested healthcare professionals. The purpose is to present current guidelines for medication management of a variety of disease states, provide updates on new and innovative developments in pharmacotherapy research and technology, and address therapeutic dilemmas and controversies in medication management that health professionals face.</w:instrText>
      </w:r>
      <w:r w:rsidRPr="00EA029C" w:rsidR="00B3131A">
        <w:rPr>
          <w:rFonts w:ascii="Arial" w:hAnsi="Arial"/>
          <w:bCs/>
          <w:noProof/>
          <w:color w:val="17365D" w:themeColor="text2" w:themeShade="BF"/>
        </w:rPr>
        <w:instrText xml:space="preserve">" "" </w:instrText>
      </w:r>
      <w:r w:rsidRPr="00EA029C" w:rsidR="00B3131A">
        <w:rPr>
          <w:rFonts w:ascii="Arial" w:hAnsi="Arial"/>
          <w:bCs/>
          <w:noProof/>
          <w:color w:val="17365D" w:themeColor="text2" w:themeShade="BF"/>
        </w:rPr>
        <w:fldChar w:fldCharType="separate"/>
      </w:r>
    </w:p>
    <w:p w:rsidR="000F5D19" w:rsidP="006C7647">
      <w:pPr>
        <w:spacing w:after="0" w:line="240" w:lineRule="auto"/>
        <w:contextualSpacing/>
        <w:jc w:val="center"/>
        <w:rPr>
          <w:rFonts w:ascii="Arial" w:hAnsi="Arial"/>
          <w:bCs/>
          <w:noProof/>
          <w:color w:val="17365D" w:themeColor="text2" w:themeShade="BF"/>
          <w:sz w:val="20"/>
          <w:szCs w:val="20"/>
        </w:rPr>
      </w:pPr>
    </w:p>
    <w:p w:rsidR="000F5D19" w:rsidP="006C7647">
      <w:pPr>
        <w:spacing w:after="0" w:line="240" w:lineRule="auto"/>
        <w:contextualSpacing/>
        <w:jc w:val="center"/>
        <w:rPr>
          <w:rFonts w:ascii="Arial" w:hAnsi="Arial"/>
          <w:bCs/>
          <w:noProof/>
          <w:color w:val="17365D" w:themeColor="text2" w:themeShade="BF"/>
          <w:sz w:val="20"/>
          <w:szCs w:val="20"/>
        </w:rPr>
      </w:pPr>
    </w:p>
    <w:p w:rsidR="00B3131A" w:rsidRPr="00EA029C" w:rsidP="006C7647">
      <w:pPr>
        <w:spacing w:after="0" w:line="240" w:lineRule="auto"/>
        <w:contextualSpacing/>
        <w:jc w:val="center"/>
        <w:rPr>
          <w:rFonts w:ascii="Arial" w:hAnsi="Arial"/>
          <w:bCs/>
          <w:noProof/>
          <w:color w:val="17365D" w:themeColor="text2" w:themeShade="BF"/>
        </w:rPr>
      </w:pPr>
      <w:r>
        <w:rPr>
          <w:rtl w:val="0"/>
        </w:rPr>
        <w:t>Pharmacy Grand Rounds is a monthly educational series for pharmacists, pharmacy technicians, and other interested healthcare professionals. The purpose is to present current guidelines for medication management of a variety of disease states, provide updates on new and innovative developments in pharmacotherapy research and technology, and address therapeutic dilemmas and controversies in medication management that health professionals face.</w:t>
      </w:r>
      <w:r w:rsidRPr="00EA029C">
        <w:rPr>
          <w:rFonts w:ascii="Arial" w:hAnsi="Arial"/>
          <w:bCs/>
          <w:noProof/>
          <w:color w:val="17365D" w:themeColor="text2" w:themeShade="BF"/>
        </w:rPr>
        <w:fldChar w:fldCharType="end"/>
      </w:r>
    </w:p>
    <w:p w:rsidR="006C7647" w:rsidRPr="00386F24" w:rsidP="006C7647">
      <w:pPr>
        <w:spacing w:after="0" w:line="240" w:lineRule="auto"/>
        <w:contextualSpacing/>
        <w:jc w:val="center"/>
        <w:rPr>
          <w:rFonts w:ascii="Arial" w:hAnsi="Arial" w:cs="Arial"/>
          <w:b/>
          <w:sz w:val="20"/>
          <w:szCs w:val="20"/>
        </w:rPr>
      </w:pPr>
    </w:p>
    <w:p w:rsidR="008D42EF" w:rsidP="006C7647">
      <w:pPr>
        <w:spacing w:after="0" w:line="240" w:lineRule="auto"/>
        <w:contextualSpacing/>
        <w:jc w:val="center"/>
        <w:rPr>
          <w:rFonts w:cs="Arial"/>
          <w:bCs/>
        </w:rPr>
      </w:pPr>
      <w:r w:rsidRPr="0018769F">
        <w:rPr>
          <w:rFonts w:ascii="Arial" w:hAnsi="Arial" w:cs="Arial"/>
          <w:b/>
          <w:sz w:val="28"/>
          <w:szCs w:val="28"/>
        </w:rPr>
        <w:t>11/03/2026</w:t>
      </w:r>
      <w:r w:rsidRPr="008D42EF">
        <w:rPr>
          <w:rFonts w:cs="Arial"/>
          <w:bCs/>
        </w:rPr>
        <w:fldChar w:fldCharType="begin"/>
      </w:r>
      <w:r w:rsidRPr="008D42EF">
        <w:rPr>
          <w:rFonts w:cs="Arial"/>
          <w:bCs/>
        </w:rPr>
        <w:instrText xml:space="preserve"> IF </w:instrText>
      </w:r>
      <w:r>
        <w:rPr>
          <w:rFonts w:cs="Arial"/>
          <w:bCs/>
        </w:rPr>
        <w:instrText>"</w:instrText>
      </w:r>
      <w:r>
        <w:rPr>
          <w:rFonts w:cs="Arial"/>
          <w:bCs/>
        </w:rPr>
        <w:instrText>Dana Center, MH MMC Portland</w:instrText>
      </w:r>
      <w:r>
        <w:rPr>
          <w:rFonts w:cs="Arial"/>
          <w:bCs/>
        </w:rPr>
        <w:instrText>"</w:instrText>
      </w:r>
      <w:r>
        <w:rPr>
          <w:rFonts w:cs="Arial"/>
          <w:bCs/>
        </w:rPr>
        <w:instrText xml:space="preserve"> &lt;&gt; "" "</w:instrText>
      </w:r>
    </w:p>
    <w:p w:rsidR="00386F24" w:rsidRPr="00386F24" w:rsidP="006C7647">
      <w:pPr>
        <w:spacing w:after="0" w:line="240" w:lineRule="auto"/>
        <w:contextualSpacing/>
        <w:jc w:val="center"/>
        <w:rPr>
          <w:rFonts w:cs="Arial"/>
          <w:bCs/>
          <w:sz w:val="20"/>
          <w:szCs w:val="20"/>
        </w:rPr>
      </w:pPr>
    </w:p>
    <w:p w:rsidR="00875345" w:rsidP="006C7647">
      <w:pPr>
        <w:spacing w:after="0" w:line="240" w:lineRule="auto"/>
        <w:contextualSpacing/>
        <w:jc w:val="center"/>
        <w:rPr>
          <w:rFonts w:cs="Arial"/>
          <w:bCs/>
          <w:noProof/>
        </w:rPr>
      </w:pPr>
      <w:r>
        <w:rPr>
          <w:rFonts w:cs="Arial"/>
          <w:bCs/>
        </w:rPr>
        <w:instrText>Dana Center, MH MMC Portland</w:instrText>
      </w:r>
      <w:r>
        <w:rPr>
          <w:rFonts w:cs="Arial"/>
          <w:bCs/>
        </w:rPr>
        <w:instrText>" ""</w:instrText>
      </w:r>
      <w:r w:rsidRPr="008D42EF">
        <w:rPr>
          <w:rFonts w:cs="Arial"/>
          <w:bCs/>
        </w:rPr>
        <w:instrText xml:space="preserve"> </w:instrText>
      </w:r>
      <w:r w:rsidRPr="008D42EF">
        <w:rPr>
          <w:rFonts w:cs="Arial"/>
          <w:bCs/>
        </w:rPr>
        <w:fldChar w:fldCharType="separate"/>
      </w:r>
    </w:p>
    <w:p w:rsidR="00386F24" w:rsidRPr="00386F24" w:rsidP="006C7647">
      <w:pPr>
        <w:spacing w:after="0" w:line="240" w:lineRule="auto"/>
        <w:contextualSpacing/>
        <w:jc w:val="center"/>
        <w:rPr>
          <w:rFonts w:cs="Arial"/>
          <w:bCs/>
          <w:sz w:val="20"/>
          <w:szCs w:val="20"/>
        </w:rPr>
      </w:pPr>
    </w:p>
    <w:p w:rsidR="008D42EF" w:rsidRPr="008D42EF" w:rsidP="006C7647">
      <w:pPr>
        <w:spacing w:after="0" w:line="240" w:lineRule="auto"/>
        <w:contextualSpacing/>
        <w:jc w:val="center"/>
        <w:rPr>
          <w:rFonts w:cs="Arial"/>
          <w:bCs/>
        </w:rPr>
      </w:pPr>
      <w:r>
        <w:rPr>
          <w:rFonts w:cs="Arial"/>
          <w:bCs/>
        </w:rPr>
        <w:t>Dana Center, MH MMC Portland</w:t>
      </w:r>
      <w:r w:rsidRPr="008D42EF">
        <w:rPr>
          <w:rFonts w:cs="Arial"/>
          <w:bCs/>
        </w:rPr>
        <w:fldChar w:fldCharType="end"/>
      </w:r>
    </w:p>
    <w:p w:rsidR="00552F5E" w:rsidP="006C7647">
      <w:pPr>
        <w:spacing w:after="0" w:line="240" w:lineRule="auto"/>
        <w:contextualSpacing/>
        <w:rPr>
          <w:rFonts w:ascii="Arial" w:hAnsi="Arial" w:cs="Arial"/>
          <w:b/>
          <w:sz w:val="24"/>
          <w:szCs w:val="24"/>
        </w:rPr>
      </w:pPr>
    </w:p>
    <w:p w:rsidR="00A57FC9" w:rsidP="006C7647">
      <w:pPr>
        <w:spacing w:after="0" w:line="240" w:lineRule="auto"/>
        <w:contextualSpacing/>
        <w:rPr>
          <w:rFonts w:ascii="Arial" w:hAnsi="Arial" w:cs="Arial"/>
          <w:b/>
          <w:sz w:val="24"/>
          <w:szCs w:val="24"/>
        </w:rPr>
      </w:pPr>
    </w:p>
    <w:p w:rsidR="00552F5E" w:rsidP="006C7647">
      <w:pPr>
        <w:spacing w:after="0" w:line="240" w:lineRule="auto"/>
        <w:contextualSpacing/>
        <w:rPr>
          <w:rFonts w:ascii="Arial" w:hAnsi="Arial" w:cs="Arial"/>
          <w:b/>
          <w:sz w:val="28"/>
          <w:szCs w:val="28"/>
        </w:rPr>
      </w:pPr>
      <w:r w:rsidRPr="00BB5386">
        <w:rPr>
          <w:rFonts w:ascii="Arial" w:hAnsi="Arial" w:cs="Arial"/>
          <w:b/>
          <w:sz w:val="28"/>
          <w:szCs w:val="28"/>
        </w:rPr>
        <w:t>Goals or Objectives</w:t>
      </w:r>
      <w:r w:rsidRPr="00BB5386" w:rsidR="00993B4D">
        <w:rPr>
          <w:rFonts w:ascii="Arial" w:hAnsi="Arial" w:cs="Arial"/>
          <w:b/>
          <w:sz w:val="28"/>
          <w:szCs w:val="28"/>
        </w:rPr>
        <w:t>:</w:t>
      </w:r>
    </w:p>
    <w:p w:rsidR="00993B4D" w:rsidP="006C7647">
      <w:pPr>
        <w:spacing w:after="0" w:line="240" w:lineRule="auto"/>
        <w:contextualSpacing/>
        <w:rPr>
          <w:rFonts w:ascii="Arial" w:hAnsi="Arial" w:cs="Arial"/>
          <w:noProof/>
          <w:sz w:val="28"/>
          <w:szCs w:val="28"/>
        </w:rPr>
      </w:pPr>
      <w:r w:rsidR="00875345">
        <w:rPr>
          <w:rFonts w:ascii="Arial" w:hAnsi="Arial" w:cs="Arial"/>
          <w:noProof/>
          <w:sz w:val="28"/>
          <w:szCs w:val="28"/>
        </w:rPr>
        <w:t>1 Describe</w:t>
      </w:r>
      <w:r w:rsidRPr="00BB5386">
        <w:rPr>
          <w:rFonts w:ascii="Arial" w:hAnsi="Arial" w:cs="Arial"/>
          <w:sz w:val="28"/>
          <w:szCs w:val="28"/>
        </w:rPr>
        <w:t xml:space="preserve"> the epidemiology, pathophysiology, and pharmacotherapy for disease states commonly encountered in practice.</w:t>
      </w:r>
    </w:p>
    <w:p w:rsidRPr="00BB5386" w:rsidP="006C7647">
      <w:pPr>
        <w:spacing w:after="0" w:line="240" w:lineRule="auto"/>
        <w:contextualSpacing/>
        <w:rPr>
          <w:rFonts w:ascii="Arial" w:hAnsi="Arial" w:cs="Arial"/>
          <w:sz w:val="28"/>
          <w:szCs w:val="28"/>
        </w:rPr>
      </w:pPr>
      <w:r w:rsidRPr="00BB5386">
        <w:rPr>
          <w:rFonts w:ascii="Arial" w:hAnsi="Arial" w:cs="Arial"/>
          <w:sz w:val="28"/>
          <w:szCs w:val="28"/>
        </w:rPr>
        <w:t>2 Summarize evidence-based medical literature and how to incorporate this information into clinical decision making and recommendations to the healthcare team.</w:t>
      </w:r>
    </w:p>
    <w:p w:rsidR="00993B4D" w:rsidP="006C7647">
      <w:pPr>
        <w:spacing w:after="0" w:line="240" w:lineRule="auto"/>
        <w:contextualSpacing/>
        <w:rPr>
          <w:rFonts w:ascii="Arial" w:hAnsi="Arial" w:cs="Arial"/>
          <w:noProof/>
          <w:sz w:val="28"/>
          <w:szCs w:val="28"/>
        </w:rPr>
      </w:pPr>
      <w:r w:rsidRPr="00BB5386">
        <w:rPr>
          <w:rFonts w:ascii="Arial" w:hAnsi="Arial" w:cs="Arial"/>
          <w:sz w:val="28"/>
          <w:szCs w:val="28"/>
        </w:rPr>
        <w:t>3 Discuss developing research and technology in the treatment of common disease states, including controversial pharmacotherapy topics.</w:t>
      </w:r>
    </w:p>
    <w:p w:rsidR="00552F5E" w:rsidP="006C7647">
      <w:pPr>
        <w:spacing w:after="0" w:line="240" w:lineRule="auto"/>
        <w:contextualSpacing/>
        <w:rPr>
          <w:rFonts w:ascii="Arial" w:hAnsi="Arial" w:cs="Arial"/>
          <w:color w:val="000000" w:themeColor="text1"/>
          <w:sz w:val="20"/>
          <w:szCs w:val="20"/>
        </w:rPr>
      </w:pPr>
    </w:p>
    <w:p w:rsidR="002A779F" w:rsidRPr="00386F24" w:rsidP="006C7647">
      <w:pPr>
        <w:spacing w:after="0" w:line="240" w:lineRule="auto"/>
        <w:contextualSpacing/>
        <w:rPr>
          <w:rFonts w:ascii="Arial" w:hAnsi="Arial" w:cs="Arial"/>
          <w:color w:val="000000" w:themeColor="text1"/>
          <w:sz w:val="20"/>
          <w:szCs w:val="20"/>
        </w:rPr>
      </w:pPr>
    </w:p>
    <w:p w:rsidR="002A779F" w:rsidRPr="002A779F" w:rsidP="006C7647">
      <w:pPr>
        <w:spacing w:after="0" w:line="240" w:lineRule="auto"/>
        <w:contextualSpacing/>
        <w:rPr>
          <w:rFonts w:ascii="Arial" w:hAnsi="Arial" w:cs="Arial"/>
          <w:bCs/>
          <w:sz w:val="24"/>
          <w:szCs w:val="24"/>
        </w:rPr>
      </w:pPr>
      <w:r>
        <w:rPr>
          <w:rFonts w:ascii="Arial" w:hAnsi="Arial" w:cs="Arial"/>
          <w:b/>
          <w:sz w:val="24"/>
          <w:szCs w:val="24"/>
        </w:rPr>
        <w:t>Accreditation:</w:t>
      </w:r>
    </w:p>
    <w:p w:rsidR="002A779F" w:rsidP="006C7647">
      <w:pPr>
        <w:spacing w:after="0" w:line="240" w:lineRule="auto"/>
        <w:contextualSpacing/>
        <w:rPr>
          <w:rFonts w:ascii="Arial" w:hAnsi="Arial" w:cs="Arial"/>
          <w:bCs/>
          <w:sz w:val="20"/>
          <w:szCs w:val="20"/>
        </w:rPr>
      </w:pPr>
    </w:p>
    <w:tbl>
      <w:tblPr>
        <w:tblStyle w:val="TableGrid1"/>
        <w:tblW w:w="0" w:type="auto"/>
        <w:tblBorders>
          <w:top w:val="nil"/>
          <w:left w:val="nil"/>
          <w:bottom w:val="nil"/>
          <w:right w:val="nil"/>
          <w:insideH w:val="nil"/>
          <w:insideV w:val="nil"/>
        </w:tblBorders>
        <w:tblLook w:val="04A0"/>
      </w:tblPr>
      <w:tblGrid>
        <w:gridCol w:w="2514"/>
        <w:gridCol w:w="7710"/>
      </w:tblGrid>
      <w:tr w:rsidTr="75606142">
        <w:tblPrEx>
          <w:tblW w:w="0" w:type="auto"/>
          <w:tblBorders>
            <w:top w:val="nil"/>
            <w:left w:val="nil"/>
            <w:bottom w:val="nil"/>
            <w:right w:val="nil"/>
            <w:insideH w:val="nil"/>
            <w:insideV w:val="nil"/>
          </w:tblBorders>
          <w:tblLook w:val="04A0"/>
        </w:tblPrEx>
        <w:tc>
          <w:tcPr>
            <w:tcW w:w="2515" w:type="dxa"/>
          </w:tcPr>
          <w:p w:rsidR="002A779F" w:rsidRPr="002A779F" w:rsidP="002A779F">
            <w:pPr>
              <w:spacing w:after="0" w:line="240" w:lineRule="auto"/>
              <w:contextualSpacing/>
              <w:rPr>
                <w:rFonts w:ascii="Arial" w:eastAsia="Times New Roman" w:hAnsi="Arial" w:cs="Arial"/>
                <w:szCs w:val="20"/>
              </w:rPr>
            </w:pPr>
            <w:r w:rsidRPr="002A779F">
              <w:rPr>
                <w:rFonts w:ascii="Arial" w:eastAsia="Times New Roman" w:hAnsi="Arial" w:cs="Arial"/>
                <w:noProof/>
                <w:sz w:val="20"/>
                <w:szCs w:val="20"/>
              </w:rPr>
              <w:drawing>
                <wp:inline distT="0" distB="0" distL="0" distR="0">
                  <wp:extent cx="1453515" cy="998855"/>
                  <wp:effectExtent l="0" t="0" r="0" b="0"/>
                  <wp:docPr id="6" name="Picture 6"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with medium confidence"/>
                          <pic:cNvPicPr/>
                        </pic:nvPicPr>
                        <pic:blipFill>
                          <a:blip xmlns:r="http://schemas.openxmlformats.org/officeDocument/2006/relationships" r:embed="rId5"/>
                          <a:stretch>
                            <a:fillRect/>
                          </a:stretch>
                        </pic:blipFill>
                        <pic:spPr>
                          <a:xfrm>
                            <a:off x="0" y="0"/>
                            <a:ext cx="1453515" cy="998855"/>
                          </a:xfrm>
                          <a:prstGeom prst="rect">
                            <a:avLst/>
                          </a:prstGeom>
                        </pic:spPr>
                      </pic:pic>
                    </a:graphicData>
                  </a:graphic>
                </wp:inline>
              </w:drawing>
            </w:r>
          </w:p>
        </w:tc>
        <w:tc>
          <w:tcPr>
            <w:tcW w:w="8275" w:type="dxa"/>
          </w:tcPr>
          <w:p w:rsidR="002A779F" w:rsidRPr="002A779F" w:rsidP="75606142">
            <w:pPr>
              <w:spacing w:after="0" w:line="240" w:lineRule="auto"/>
              <w:ind w:left="-22"/>
              <w:contextualSpacing/>
              <w:rPr>
                <w:rFonts w:ascii="Arial" w:eastAsia="Arial" w:hAnsi="Arial" w:cs="Arial"/>
                <w:sz w:val="18"/>
                <w:szCs w:val="18"/>
              </w:rPr>
            </w:pPr>
            <w:r w:rsidRPr="75606142">
              <w:rPr>
                <w:rFonts w:ascii="Hind" w:eastAsia="Hind" w:hAnsi="Hind" w:cs="Hind"/>
                <w:color w:val="212529"/>
                <w:sz w:val="18"/>
                <w:szCs w:val="18"/>
              </w:rPr>
              <w:t>In support of improving patient care, MaineHealth is jointly accredited by the Accreditation Council for Continuing Medical Education (ACCME), the Accreditation Council for Pharmacy Education (ACPE), and the American Nurses Credentialing Center (ANCC), to provide continuing education for the healthcare team. MaineHealth is also approved to accredit continuing education activities with the following credit types: Interprofessional Continuing Education (IPCE), Association of Social Work Boards (ASWB), American Academy of Physician Assistants (AAPA), American Psychological Association (APA), Registered Dietitians (RDs) and Dietetic Technicians, Registered (DTRs).</w:t>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1.00</w:instrText>
      </w:r>
      <w:r w:rsidRPr="002A779F">
        <w:rPr>
          <w:rFonts w:ascii="Arial" w:eastAsia="Times New Roman" w:hAnsi="Arial" w:cs="Arial"/>
          <w:sz w:val="18"/>
          <w:szCs w:val="18"/>
        </w:rPr>
        <w:instrText xml:space="preserve"> &gt; 0 "</w:instrText>
      </w:r>
    </w:p>
    <w:tbl>
      <w:tblPr>
        <w:tblStyle w:val="TableGrid1"/>
        <w:tblW w:w="0" w:type="auto"/>
        <w:tblBorders>
          <w:top w:val="nil"/>
          <w:left w:val="nil"/>
          <w:bottom w:val="nil"/>
          <w:right w:val="nil"/>
          <w:insideH w:val="nil"/>
          <w:insideV w:val="nil"/>
        </w:tblBorders>
        <w:tblLook w:val="04A0"/>
      </w:tblPr>
      <w:tblGrid>
        <w:gridCol w:w="8548"/>
        <w:gridCol w:w="1676"/>
      </w:tblGrid>
      <w:tr w:rsidTr="00E74D6A">
        <w:tblPrEx>
          <w:tblW w:w="0" w:type="auto"/>
          <w:tblBorders>
            <w:top w:val="nil"/>
            <w:left w:val="nil"/>
            <w:bottom w:val="nil"/>
            <w:right w:val="nil"/>
            <w:insideH w:val="nil"/>
            <w:insideV w:val="nil"/>
          </w:tblBorders>
          <w:tblLook w:val="04A0"/>
        </w:tblPrEx>
        <w:tc>
          <w:tcPr>
            <w:tcW w:w="9625" w:type="dxa"/>
          </w:tcPr>
          <w:p w:rsidR="002A779F" w:rsidRPr="002A779F" w:rsidP="002A779F">
            <w:pPr>
              <w:spacing w:after="0" w:line="240" w:lineRule="auto"/>
              <w:ind w:right="-84"/>
              <w:contextualSpacing/>
              <w:rPr>
                <w:rFonts w:ascii="Arial" w:eastAsia="Times New Roman" w:hAnsi="Arial" w:cs="Arial"/>
                <w:sz w:val="18"/>
                <w:szCs w:val="18"/>
              </w:rPr>
            </w:pPr>
            <w:r w:rsidRPr="002A779F">
              <w:rPr>
                <w:rFonts w:ascii="Arial" w:eastAsia="Times New Roman" w:hAnsi="Arial" w:cs="Arial"/>
                <w:sz w:val="18"/>
                <w:szCs w:val="18"/>
              </w:rPr>
              <w:instrText xml:space="preserve">This activity was planned by and for the healthcare team, and learners will receive </w:instrText>
            </w:r>
            <w:r w:rsidRPr="002A779F">
              <w:rPr>
                <w:rFonts w:ascii="Arial" w:eastAsia="Times New Roman" w:hAnsi="Arial" w:cs="Arial"/>
                <w:sz w:val="18"/>
                <w:szCs w:val="18"/>
              </w:rPr>
              <w:instrText>1.00</w:instrText>
            </w:r>
            <w:r w:rsidRPr="002A779F">
              <w:rPr>
                <w:rFonts w:ascii="Arial" w:eastAsia="Times New Roman" w:hAnsi="Arial" w:cs="Arial"/>
                <w:sz w:val="18"/>
                <w:szCs w:val="18"/>
              </w:rPr>
              <w:instrText xml:space="preserve"> Interprofessional Continuing Education (IPCE) credits for learning and change.</w:instrText>
            </w:r>
          </w:p>
        </w:tc>
        <w:tc>
          <w:tcPr>
            <w:tcW w:w="116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Cs w:val="20"/>
              </w:rPr>
              <w:drawing>
                <wp:inline distT="0" distB="0" distL="0" distR="0">
                  <wp:extent cx="927100" cy="662305"/>
                  <wp:effectExtent l="0" t="0" r="0" b="0"/>
                  <wp:docPr id="12" name="Picture 12"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PCE CREDIT TM"/>
                          <pic:cNvPicPr/>
                        </pic:nvPicPr>
                        <pic:blipFill>
                          <a:blip xmlns:r="http://schemas.openxmlformats.org/officeDocument/2006/relationships" r:embed="rId6"/>
                          <a:stretch>
                            <a:fillRect/>
                          </a:stretch>
                        </pic:blipFill>
                        <pic:spPr>
                          <a:xfrm>
                            <a:off x="0" y="0"/>
                            <a:ext cx="927100" cy="662305"/>
                          </a:xfrm>
                          <a:prstGeom prst="rect">
                            <a:avLst/>
                          </a:prstGeom>
                        </pic:spPr>
                      </pic:pic>
                    </a:graphicData>
                  </a:graphic>
                </wp:inline>
              </w:drawing>
            </w:r>
          </w:p>
        </w:tc>
      </w:tr>
    </w:tbl>
    <w:p w:rsidR="002A779F" w:rsidRPr="002A779F" w:rsidP="002A779F">
      <w:pPr>
        <w:spacing w:after="0" w:line="240" w:lineRule="auto"/>
        <w:contextualSpacing/>
        <w:rPr>
          <w:rFonts w:ascii="Times New Roman" w:eastAsia="Times New Roman" w:hAnsi="Times New Roman" w:cs="Times New Roman"/>
          <w:sz w:val="20"/>
          <w:szCs w:val="20"/>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p>
    <w:tbl>
      <w:tblPr>
        <w:tblStyle w:val="TableGrid1"/>
        <w:tblW w:w="0" w:type="auto"/>
        <w:tblBorders>
          <w:top w:val="nil"/>
          <w:left w:val="nil"/>
          <w:bottom w:val="nil"/>
          <w:right w:val="nil"/>
          <w:insideH w:val="nil"/>
          <w:insideV w:val="nil"/>
        </w:tblBorders>
        <w:tblLook w:val="04A0"/>
      </w:tblPr>
      <w:tblGrid>
        <w:gridCol w:w="8548"/>
        <w:gridCol w:w="1676"/>
      </w:tblGrid>
      <w:tr w:rsidTr="00E74D6A">
        <w:tblPrEx>
          <w:tblW w:w="0" w:type="auto"/>
          <w:tblBorders>
            <w:top w:val="nil"/>
            <w:left w:val="nil"/>
            <w:bottom w:val="nil"/>
            <w:right w:val="nil"/>
            <w:insideH w:val="nil"/>
            <w:insideV w:val="nil"/>
          </w:tblBorders>
          <w:tblLook w:val="04A0"/>
        </w:tblPrEx>
        <w:tc>
          <w:tcPr>
            <w:tcW w:w="9625" w:type="dxa"/>
          </w:tcPr>
          <w:p w:rsidR="002A779F" w:rsidRPr="002A779F" w:rsidP="002A779F">
            <w:pPr>
              <w:spacing w:after="0" w:line="240" w:lineRule="auto"/>
              <w:ind w:right="-84"/>
              <w:contextualSpacing/>
              <w:rPr>
                <w:rFonts w:ascii="Arial" w:eastAsia="Times New Roman" w:hAnsi="Arial" w:cs="Arial"/>
                <w:sz w:val="18"/>
                <w:szCs w:val="18"/>
              </w:rPr>
            </w:pPr>
            <w:r w:rsidRPr="002A779F">
              <w:rPr>
                <w:rFonts w:ascii="Arial" w:eastAsia="Times New Roman" w:hAnsi="Arial" w:cs="Arial"/>
                <w:sz w:val="18"/>
                <w:szCs w:val="18"/>
              </w:rPr>
              <w:t xml:space="preserve">This activity was planned by and for the healthcare team, and learners will receive </w:t>
            </w:r>
            <w:r w:rsidRPr="002A779F">
              <w:rPr>
                <w:rFonts w:ascii="Arial" w:eastAsia="Times New Roman" w:hAnsi="Arial" w:cs="Arial"/>
                <w:sz w:val="18"/>
                <w:szCs w:val="18"/>
              </w:rPr>
              <w:t>1.00</w:t>
            </w:r>
            <w:r w:rsidRPr="002A779F">
              <w:rPr>
                <w:rFonts w:ascii="Arial" w:eastAsia="Times New Roman" w:hAnsi="Arial" w:cs="Arial"/>
                <w:sz w:val="18"/>
                <w:szCs w:val="18"/>
              </w:rPr>
              <w:t xml:space="preserve"> Interprofessional Continuing Education (IPCE) credits for learning and change.</w:t>
            </w:r>
          </w:p>
        </w:tc>
        <w:tc>
          <w:tcPr>
            <w:tcW w:w="116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Cs w:val="20"/>
              </w:rPr>
              <w:drawing>
                <wp:inline distT="0" distB="0" distL="0" distR="0">
                  <wp:extent cx="927100" cy="662305"/>
                  <wp:effectExtent l="0" t="0" r="0" b="0"/>
                  <wp:docPr id="1052919892" name="Picture 12"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PCE CREDIT TM"/>
                          <pic:cNvPicPr/>
                        </pic:nvPicPr>
                        <pic:blipFill>
                          <a:blip xmlns:r="http://schemas.openxmlformats.org/officeDocument/2006/relationships" r:embed="rId6"/>
                          <a:stretch>
                            <a:fillRect/>
                          </a:stretch>
                        </pic:blipFill>
                        <pic:spPr>
                          <a:xfrm>
                            <a:off x="0" y="0"/>
                            <a:ext cx="927100" cy="662305"/>
                          </a:xfrm>
                          <a:prstGeom prst="rect">
                            <a:avLst/>
                          </a:prstGeom>
                        </pic:spPr>
                      </pic:pic>
                    </a:graphicData>
                  </a:graphic>
                </wp:inline>
              </w:drawing>
            </w:r>
          </w:p>
        </w:tc>
      </w:tr>
    </w:tbl>
    <w:p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end"/>
      </w:r>
    </w:p>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&gt; 0 "</w:instrText>
      </w:r>
    </w:p>
    <w:tbl>
      <w:tblPr>
        <w:tblStyle w:val="TableGrid1"/>
        <w:tblW w:w="0" w:type="auto"/>
        <w:tblBorders>
          <w:top w:val="nil"/>
          <w:left w:val="nil"/>
          <w:bottom w:val="nil"/>
          <w:right w:val="nil"/>
          <w:insideH w:val="nil"/>
          <w:insideV w:val="nil"/>
        </w:tblBorders>
        <w:tblLook w:val="04A0"/>
      </w:tblPr>
      <w:tblGrid>
        <w:gridCol w:w="7886"/>
        <w:gridCol w:w="2338"/>
      </w:tblGrid>
      <w:tr w:rsidTr="00E74D6A">
        <w:tblPrEx>
          <w:tblW w:w="0" w:type="auto"/>
          <w:tblBorders>
            <w:top w:val="nil"/>
            <w:left w:val="nil"/>
            <w:bottom w:val="nil"/>
            <w:right w:val="nil"/>
            <w:insideH w:val="nil"/>
            <w:insideV w:val="nil"/>
          </w:tblBorders>
          <w:tblLook w:val="04A0"/>
        </w:tblPrEx>
        <w:tc>
          <w:tcPr>
            <w:tcW w:w="9175" w:type="dxa"/>
          </w:tcPr>
          <w:p w:rsidR="002A779F" w:rsidRPr="002A779F" w:rsidP="002A779F">
            <w:pPr>
              <w:spacing w:after="0" w:line="240" w:lineRule="auto"/>
              <w:ind w:right="-25"/>
              <w:contextualSpacing/>
              <w:rPr>
                <w:rFonts w:ascii="Arial" w:eastAsia="Times New Roman" w:hAnsi="Arial" w:cs="Arial"/>
                <w:sz w:val="18"/>
                <w:szCs w:val="18"/>
              </w:rPr>
            </w:pPr>
            <w:r w:rsidRPr="002A779F">
              <w:rPr>
                <w:rFonts w:ascii="Arial" w:eastAsia="Times New Roman" w:hAnsi="Arial" w:cs="Arial"/>
                <w:sz w:val="18"/>
                <w:szCs w:val="18"/>
              </w:rPr>
              <w:instrText xml:space="preserve">As a Jointly Accredited Organization, MaineHealth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MaineHealth maintains responsibility for this course. Social workers completing this course receive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ASWBHours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 0.00#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continuing education credit(s).</w:instrText>
            </w:r>
          </w:p>
        </w:tc>
        <w:tc>
          <w:tcPr>
            <w:tcW w:w="161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1347470" cy="509905"/>
                  <wp:effectExtent l="0" t="0" r="0" b="0"/>
                  <wp:docPr id="15" name="Picture 15" descr="ASWB&#10;ACE&#10;approved continuing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SWB&#10;ACE&#10;approved continuing education"/>
                          <pic:cNvPicPr/>
                        </pic:nvPicPr>
                        <pic:blipFill>
                          <a:blip xmlns:r="http://schemas.openxmlformats.org/officeDocument/2006/relationships" r:embed="rId7"/>
                          <a:stretch>
                            <a:fillRect/>
                          </a:stretch>
                        </pic:blipFill>
                        <pic:spPr>
                          <a:xfrm>
                            <a:off x="0" y="0"/>
                            <a:ext cx="1347470" cy="509905"/>
                          </a:xfrm>
                          <a:prstGeom prst="rect">
                            <a:avLst/>
                          </a:prstGeom>
                        </pic:spPr>
                      </pic:pic>
                    </a:graphicData>
                  </a:graphic>
                </wp:inline>
              </w:drawing>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instrText>0</w:instrText>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&gt; 0 "</w:instrText>
      </w:r>
    </w:p>
    <w:tbl>
      <w:tblPr>
        <w:tblStyle w:val="TableGrid1"/>
        <w:tblW w:w="10260" w:type="dxa"/>
        <w:tblBorders>
          <w:top w:val="nil"/>
          <w:left w:val="nil"/>
          <w:bottom w:val="nil"/>
          <w:right w:val="nil"/>
          <w:insideH w:val="nil"/>
          <w:insideV w:val="nil"/>
        </w:tblBorders>
        <w:tblLook w:val="04A0"/>
      </w:tblPr>
      <w:tblGrid>
        <w:gridCol w:w="8730"/>
        <w:gridCol w:w="1530"/>
      </w:tblGrid>
      <w:tr w:rsidTr="00A43AB2">
        <w:tblPrEx>
          <w:tblW w:w="10260" w:type="dxa"/>
          <w:tblBorders>
            <w:top w:val="nil"/>
            <w:left w:val="nil"/>
            <w:bottom w:val="nil"/>
            <w:right w:val="nil"/>
            <w:insideH w:val="nil"/>
            <w:insideV w:val="nil"/>
          </w:tblBorders>
          <w:tblLook w:val="04A0"/>
        </w:tblPrEx>
        <w:tc>
          <w:tcPr>
            <w:tcW w:w="8730" w:type="dxa"/>
          </w:tcPr>
          <w:p w:rsidR="002A779F" w:rsidRPr="002A779F" w:rsidP="002A779F">
            <w:pPr>
              <w:spacing w:after="0" w:line="240" w:lineRule="auto"/>
              <w:ind w:right="-20"/>
              <w:contextualSpacing/>
              <w:rPr>
                <w:rFonts w:ascii="Arial" w:eastAsia="Times New Roman" w:hAnsi="Arial" w:cs="Arial"/>
                <w:sz w:val="18"/>
                <w:szCs w:val="18"/>
              </w:rPr>
            </w:pPr>
            <w:r w:rsidRPr="002A779F">
              <w:rPr>
                <w:rFonts w:ascii="Arial" w:eastAsia="Times New Roman" w:hAnsi="Arial" w:cs="Arial"/>
                <w:sz w:val="18"/>
                <w:szCs w:val="18"/>
              </w:rPr>
              <w:instrText xml:space="preserve">MaineHealth has been authorized by the American Academy of PAs (AAPA) to award AAPA Category 1 CME credit for activities planned in accordance with AAPA CME Criteria. This activity is designated for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AAPALiveHours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AAPAEndHours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0.00#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AAPA Category 1 CME credits.</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ActivityFormat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"Enduring Material" " Approval is valid until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EndTime \@ "MM/dd/yyyy"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PAs should only claim credit commensurate with the extent of their participation.</w:instrText>
            </w:r>
          </w:p>
        </w:tc>
        <w:tc>
          <w:tcPr>
            <w:tcW w:w="1530"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795528" cy="795528"/>
                  <wp:effectExtent l="0" t="0" r="5080" b="5080"/>
                  <wp:docPr id="17" name="Picture 17" descr="PA&#10;AAPA CATEGORY 1 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A&#10;AAPA CATEGORY 1 CME"/>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795528" cy="795528"/>
                          </a:xfrm>
                          <a:prstGeom prst="rect">
                            <a:avLst/>
                          </a:prstGeom>
                        </pic:spPr>
                      </pic:pic>
                    </a:graphicData>
                  </a:graphic>
                </wp:inline>
              </w:drawing>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&gt; 0 "</w:instrText>
      </w:r>
    </w:p>
    <w:tbl>
      <w:tblPr>
        <w:tblStyle w:val="TableGrid1"/>
        <w:tblW w:w="10260" w:type="dxa"/>
        <w:tblBorders>
          <w:top w:val="nil"/>
          <w:left w:val="nil"/>
          <w:bottom w:val="nil"/>
          <w:right w:val="nil"/>
          <w:insideH w:val="nil"/>
          <w:insideV w:val="nil"/>
        </w:tblBorders>
        <w:tblLook w:val="04A0"/>
      </w:tblPr>
      <w:tblGrid>
        <w:gridCol w:w="8284"/>
        <w:gridCol w:w="1976"/>
      </w:tblGrid>
      <w:tr w:rsidTr="00A43AB2">
        <w:tblPrEx>
          <w:tblW w:w="10260" w:type="dxa"/>
          <w:tblBorders>
            <w:top w:val="nil"/>
            <w:left w:val="nil"/>
            <w:bottom w:val="nil"/>
            <w:right w:val="nil"/>
            <w:insideH w:val="nil"/>
            <w:insideV w:val="nil"/>
          </w:tblBorders>
          <w:tblLook w:val="04A0"/>
        </w:tblPrEx>
        <w:tc>
          <w:tcPr>
            <w:tcW w:w="8814" w:type="dxa"/>
          </w:tcPr>
          <w:p w:rsidR="002A779F" w:rsidRPr="002A779F" w:rsidP="002A779F">
            <w:pPr>
              <w:spacing w:after="0" w:line="240" w:lineRule="auto"/>
              <w:ind w:right="-19"/>
              <w:contextualSpacing/>
              <w:rPr>
                <w:rFonts w:ascii="Arial" w:eastAsia="Times New Roman" w:hAnsi="Arial" w:cs="Arial"/>
                <w:sz w:val="18"/>
                <w:szCs w:val="18"/>
              </w:rPr>
            </w:pPr>
            <w:r w:rsidRPr="002A779F">
              <w:rPr>
                <w:rFonts w:ascii="Arial" w:eastAsia="Times New Roman" w:hAnsi="Arial" w:cs="Arial"/>
                <w:sz w:val="18"/>
                <w:szCs w:val="18"/>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p>
        </w:tc>
        <w:tc>
          <w:tcPr>
            <w:tcW w:w="1446"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1113155" cy="419100"/>
                  <wp:effectExtent l="0" t="0" r="4445" b="0"/>
                  <wp:docPr id="19" name="Picture 1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xmlns:r="http://schemas.openxmlformats.org/officeDocument/2006/relationships" r:embed="rId9"/>
                          <a:stretch>
                            <a:fillRect/>
                          </a:stretch>
                        </pic:blipFill>
                        <pic:spPr>
                          <a:xfrm>
                            <a:off x="0" y="0"/>
                            <a:ext cx="1113155" cy="419100"/>
                          </a:xfrm>
                          <a:prstGeom prst="rect">
                            <a:avLst/>
                          </a:prstGeom>
                        </pic:spPr>
                      </pic:pic>
                    </a:graphicData>
                  </a:graphic>
                </wp:inline>
              </w:drawing>
            </w:r>
          </w:p>
        </w:tc>
      </w:tr>
    </w:tbl>
    <w:p w:rsidR="00820EAE"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Pr>
          <w:rFonts w:ascii="Arial" w:eastAsia="Times New Roman" w:hAnsi="Arial" w:cs="Arial"/>
          <w:sz w:val="18"/>
          <w:szCs w:val="18"/>
        </w:rPr>
        <w:fldChar w:fldCharType="begin"/>
      </w:r>
      <w:r>
        <w:rPr>
          <w:rFonts w:ascii="Arial" w:eastAsia="Times New Roman" w:hAnsi="Arial" w:cs="Arial"/>
          <w:sz w:val="18"/>
          <w:szCs w:val="18"/>
        </w:rPr>
        <w:instrText xml:space="preserve"> IF </w:instrText>
      </w:r>
      <w:r>
        <w:rPr>
          <w:rFonts w:ascii="Arial" w:eastAsia="Times New Roman" w:hAnsi="Arial" w:cs="Arial"/>
          <w:sz w:val="18"/>
          <w:szCs w:val="18"/>
        </w:rPr>
        <w:instrText>0.00</w:instrText>
      </w:r>
      <w:r>
        <w:rPr>
          <w:rFonts w:ascii="Arial" w:eastAsia="Times New Roman" w:hAnsi="Arial" w:cs="Arial"/>
          <w:sz w:val="18"/>
          <w:szCs w:val="18"/>
        </w:rPr>
        <w:instrText xml:space="preserve"> &gt; 0 "</w:instrText>
      </w:r>
    </w:p>
    <w:p w:rsidR="002A779F" w:rsidRPr="002A779F" w:rsidP="002A779F">
      <w:pPr>
        <w:spacing w:after="0" w:line="240" w:lineRule="auto"/>
        <w:contextualSpacing/>
        <w:rPr>
          <w:rFonts w:ascii="Arial" w:eastAsia="Times New Roman" w:hAnsi="Arial" w:cs="Arial"/>
          <w:sz w:val="18"/>
          <w:szCs w:val="18"/>
        </w:rPr>
      </w:pPr>
      <w:r>
        <w:rPr>
          <w:rFonts w:ascii="Arial" w:eastAsia="Times New Roman" w:hAnsi="Arial" w:cs="Arial"/>
          <w:noProof/>
          <w:sz w:val="18"/>
          <w:szCs w:val="18"/>
        </w:rPr>
        <w:drawing>
          <wp:inline distT="0" distB="0" distL="0" distR="0">
            <wp:extent cx="6439897" cy="78434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6640257" cy="808749"/>
                    </a:xfrm>
                    <a:prstGeom prst="rect">
                      <a:avLst/>
                    </a:prstGeom>
                  </pic:spPr>
                </pic:pic>
              </a:graphicData>
            </a:graphic>
          </wp:inline>
        </w:drawing>
      </w:r>
      <w:r>
        <w:rPr>
          <w:rFonts w:ascii="Arial" w:eastAsia="Times New Roman" w:hAnsi="Arial" w:cs="Arial"/>
          <w:sz w:val="18"/>
          <w:szCs w:val="18"/>
        </w:rPr>
        <w:instrText xml:space="preserve">" "" </w:instrText>
      </w:r>
      <w:r>
        <w:rPr>
          <w:rFonts w:ascii="Arial" w:eastAsia="Times New Roman" w:hAnsi="Arial" w:cs="Arial"/>
          <w:sz w:val="18"/>
          <w:szCs w:val="18"/>
        </w:rPr>
        <w:fldChar w:fldCharType="separate"/>
      </w:r>
      <w:r>
        <w:rPr>
          <w:rFonts w:ascii="Arial" w:eastAsia="Times New Roman" w:hAnsi="Arial" w:cs="Arial"/>
          <w:sz w:val="18"/>
          <w:szCs w:val="18"/>
        </w:rPr>
        <w:fldChar w:fldCharType="end"/>
      </w:r>
    </w:p>
    <w:p w:rsidR="00386F24" w:rsidRPr="00386F24" w:rsidP="006C7647">
      <w:pPr>
        <w:spacing w:after="0" w:line="240" w:lineRule="auto"/>
        <w:contextualSpacing/>
        <w:rPr>
          <w:rFonts w:ascii="Arial" w:hAnsi="Arial" w:cs="Arial"/>
          <w:sz w:val="20"/>
          <w:szCs w:val="20"/>
        </w:rPr>
      </w:pPr>
    </w:p>
    <w:p w:rsidR="00DD5660" w:rsidP="00DD5660">
      <w:pPr>
        <w:contextualSpacing/>
        <w:rPr>
          <w:rFonts w:ascii="Arial" w:hAnsi="Arial" w:cs="Arial"/>
          <w:sz w:val="24"/>
          <w:szCs w:val="24"/>
        </w:rPr>
      </w:pPr>
      <w:r>
        <w:rPr>
          <w:rFonts w:ascii="Arial" w:hAnsi="Arial" w:cs="Arial"/>
          <w:b/>
          <w:sz w:val="24"/>
          <w:szCs w:val="24"/>
        </w:rPr>
        <w:t xml:space="preserve">Credit Designation: </w:t>
      </w:r>
      <w:r w:rsidRPr="009D238E" w:rsidR="00BB5386">
        <w:rPr>
          <w:rFonts w:ascii="Arial" w:hAnsi="Arial" w:cs="Arial"/>
          <w:sz w:val="24"/>
          <w:szCs w:val="24"/>
        </w:rPr>
        <w:t xml:space="preserve">Maine Medical Center </w:t>
      </w:r>
      <w:r w:rsidRPr="009D238E" w:rsidR="00993B4D">
        <w:rPr>
          <w:rFonts w:ascii="Arial" w:hAnsi="Arial" w:cs="Arial"/>
          <w:sz w:val="24"/>
          <w:szCs w:val="24"/>
        </w:rPr>
        <w:t>designates this educational activity for a maximum of</w:t>
      </w:r>
      <w:r w:rsidR="009D238E">
        <w:rPr>
          <w:rFonts w:ascii="Arial" w:hAnsi="Arial" w:cs="Arial"/>
          <w:sz w:val="24"/>
          <w:szCs w:val="24"/>
        </w:rPr>
        <w:t>:</w:t>
      </w:r>
      <w:r w:rsidRPr="009D238E" w:rsidR="00A43AB2">
        <w:rPr>
          <w:rFonts w:ascii="Arial" w:hAnsi="Arial" w:cs="Arial"/>
          <w:sz w:val="24"/>
          <w:szCs w:val="24"/>
        </w:rPr>
        <w:t xml:space="preserve"> </w:t>
      </w:r>
      <w:r w:rsidRPr="00A43AB2" w:rsidR="00A43AB2">
        <w:rPr>
          <w:rFonts w:ascii="Arial" w:eastAsia="Times New Roman" w:hAnsi="Arial" w:cs="Arial"/>
          <w:sz w:val="24"/>
          <w:szCs w:val="21"/>
        </w:rPr>
        <w:fldChar w:fldCharType="begin"/>
      </w:r>
      <w:r w:rsidRPr="009D238E" w:rsidR="00A43AB2">
        <w:rPr>
          <w:rFonts w:ascii="Arial" w:eastAsia="Times New Roman" w:hAnsi="Arial" w:cs="Arial"/>
          <w:sz w:val="24"/>
          <w:szCs w:val="21"/>
        </w:rPr>
        <w:instrText xml:space="preserve"> IF </w:instrText>
      </w:r>
      <w:r w:rsidRPr="009D238E" w:rsidR="00A43AB2">
        <w:rPr>
          <w:rFonts w:ascii="Arial" w:eastAsia="Times New Roman" w:hAnsi="Arial" w:cs="Arial"/>
          <w:sz w:val="24"/>
          <w:szCs w:val="21"/>
        </w:rPr>
        <w:instrText>1.00</w:instrText>
      </w:r>
      <w:r w:rsidRPr="009D238E" w:rsidR="00A43AB2">
        <w:rPr>
          <w:rFonts w:ascii="Arial" w:eastAsia="Times New Roman" w:hAnsi="Arial" w:cs="Arial"/>
          <w:sz w:val="24"/>
          <w:szCs w:val="21"/>
        </w:rPr>
        <w:instrText xml:space="preserve"> &gt; 0 "</w:instrText>
      </w:r>
      <w:r w:rsidR="009D238E">
        <w:rPr>
          <w:rFonts w:ascii="Arial" w:eastAsia="Times New Roman" w:hAnsi="Arial" w:cs="Arial"/>
          <w:sz w:val="24"/>
          <w:szCs w:val="21"/>
        </w:rPr>
        <w:instrText>1.00</w:instrText>
      </w:r>
      <w:r w:rsidR="009D238E">
        <w:rPr>
          <w:rFonts w:ascii="Arial" w:eastAsia="Times New Roman" w:hAnsi="Arial" w:cs="Arial"/>
          <w:sz w:val="24"/>
          <w:szCs w:val="21"/>
        </w:rPr>
        <w:instrText xml:space="preserve"> </w:instrText>
      </w:r>
      <w:r w:rsidRPr="00A43AB2" w:rsidR="00A43AB2">
        <w:rPr>
          <w:rFonts w:ascii="Arial" w:eastAsia="Times New Roman" w:hAnsi="Arial" w:cs="Arial"/>
          <w:iCs/>
          <w:sz w:val="24"/>
          <w:szCs w:val="21"/>
        </w:rPr>
        <w:instrText>Interprofessional Continuing Education Credit</w:instrText>
      </w:r>
      <w:r w:rsidR="009D238E">
        <w:rPr>
          <w:rFonts w:ascii="Arial" w:eastAsia="Times New Roman" w:hAnsi="Arial" w:cs="Arial"/>
          <w:iCs/>
          <w:sz w:val="24"/>
          <w:szCs w:val="21"/>
        </w:rPr>
        <w:instrText>(s);</w:instrText>
      </w:r>
      <w:r w:rsidR="00154A54">
        <w:rPr>
          <w:rFonts w:ascii="Arial" w:eastAsia="Times New Roman" w:hAnsi="Arial" w:cs="Arial"/>
          <w:iCs/>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009D238E">
        <w:rPr>
          <w:rFonts w:ascii="Arial" w:eastAsia="Times New Roman" w:hAnsi="Arial" w:cs="Arial"/>
          <w:sz w:val="24"/>
          <w:szCs w:val="21"/>
        </w:rPr>
        <w:t>1.00</w:t>
      </w:r>
      <w:r w:rsidR="009D238E">
        <w:rPr>
          <w:rFonts w:ascii="Arial" w:eastAsia="Times New Roman" w:hAnsi="Arial" w:cs="Arial"/>
          <w:sz w:val="24"/>
          <w:szCs w:val="21"/>
        </w:rPr>
        <w:t xml:space="preserve"> </w:t>
      </w:r>
      <w:r w:rsidRPr="00A43AB2" w:rsidR="00A43AB2">
        <w:rPr>
          <w:rFonts w:ascii="Arial" w:eastAsia="Times New Roman" w:hAnsi="Arial" w:cs="Arial"/>
          <w:iCs/>
          <w:sz w:val="24"/>
          <w:szCs w:val="21"/>
        </w:rPr>
        <w:t>Interprofessional Continuing Education Credit</w:t>
      </w:r>
      <w:r w:rsidR="009D238E">
        <w:rPr>
          <w:rFonts w:ascii="Arial" w:eastAsia="Times New Roman" w:hAnsi="Arial" w:cs="Arial"/>
          <w:iCs/>
          <w:sz w:val="24"/>
          <w:szCs w:val="21"/>
        </w:rPr>
        <w:t>(s);</w:t>
      </w:r>
      <w:r w:rsidR="00154A54">
        <w:rPr>
          <w:rFonts w:ascii="Arial" w:eastAsia="Times New Roman" w:hAnsi="Arial" w:cs="Arial"/>
          <w:iCs/>
          <w:sz w:val="24"/>
          <w:szCs w:val="21"/>
        </w:rPr>
        <w:t xml:space="preserve"> </w:t>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1.00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instrText>1.00</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i/>
          <w:iCs/>
          <w:sz w:val="24"/>
          <w:szCs w:val="21"/>
        </w:rPr>
        <w:instrText>AMA PRA Category 1 Credit(s)</w:instrText>
      </w:r>
      <w:r w:rsidRPr="00A43AB2" w:rsidR="00A43AB2">
        <w:rPr>
          <w:rFonts w:ascii="Arial" w:eastAsia="Times New Roman" w:hAnsi="Arial" w:cs="Arial"/>
          <w:iCs/>
          <w:sz w:val="24"/>
          <w:szCs w:val="21"/>
        </w:rPr>
        <w:instrText>™</w:instrText>
      </w:r>
      <w:r w:rsidR="00154A54">
        <w:rPr>
          <w:rFonts w:ascii="Arial" w:eastAsia="Times New Roman" w:hAnsi="Arial" w:cs="Arial"/>
          <w:iCs/>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00154A54">
        <w:rPr>
          <w:rFonts w:ascii="Arial" w:eastAsia="Times New Roman" w:hAnsi="Arial" w:cs="Arial"/>
          <w:sz w:val="24"/>
          <w:szCs w:val="21"/>
        </w:rPr>
        <w:t>1.00</w:t>
      </w:r>
      <w:r w:rsidR="00154A54">
        <w:rPr>
          <w:rFonts w:ascii="Arial" w:eastAsia="Times New Roman" w:hAnsi="Arial" w:cs="Arial"/>
          <w:sz w:val="24"/>
          <w:szCs w:val="21"/>
        </w:rPr>
        <w:t xml:space="preserve"> </w:t>
      </w:r>
      <w:r w:rsidRPr="00A43AB2" w:rsidR="00A43AB2">
        <w:rPr>
          <w:rFonts w:ascii="Arial" w:eastAsia="Times New Roman" w:hAnsi="Arial" w:cs="Arial"/>
          <w:i/>
          <w:iCs/>
          <w:sz w:val="24"/>
          <w:szCs w:val="21"/>
        </w:rPr>
        <w:t>AMA PRA Category 1 Credit(s)</w:t>
      </w:r>
      <w:r w:rsidRPr="00A43AB2" w:rsidR="00A43AB2">
        <w:rPr>
          <w:rFonts w:ascii="Arial" w:eastAsia="Times New Roman" w:hAnsi="Arial" w:cs="Arial"/>
          <w:iCs/>
          <w:sz w:val="24"/>
          <w:szCs w:val="21"/>
        </w:rPr>
        <w:t>™</w:t>
      </w:r>
      <w:r w:rsidR="00154A54">
        <w:rPr>
          <w:rFonts w:ascii="Arial" w:eastAsia="Times New Roman" w:hAnsi="Arial" w:cs="Arial"/>
          <w:iCs/>
          <w:sz w:val="24"/>
          <w:szCs w:val="21"/>
        </w:rPr>
        <w:t xml:space="preserve">; </w:t>
      </w:r>
      <w:r w:rsidRPr="00A43AB2" w:rsidR="00A43AB2">
        <w:rPr>
          <w:rFonts w:ascii="Arial" w:eastAsia="Times New Roman" w:hAnsi="Arial" w:cs="Arial"/>
          <w:sz w:val="24"/>
          <w:szCs w:val="21"/>
        </w:rPr>
        <w:fldChar w:fldCharType="end"/>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IF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&gt; 0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ACPE Credit(s); " ""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t>1.00</w:t>
      </w:r>
      <w:r w:rsidR="00B37411">
        <w:rPr>
          <w:rFonts w:ascii="Arial" w:eastAsia="Times New Roman" w:hAnsi="Arial" w:cs="Arial"/>
          <w:sz w:val="24"/>
          <w:szCs w:val="21"/>
        </w:rPr>
        <w:t xml:space="preserve"> ACPE Credit(s); </w:t>
      </w:r>
      <w:r w:rsidR="00B37411">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ANCCHoursMax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ANCC Contact Hour(s)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ASWBHoursMax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Social Work Continuing Education Credit(s)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instrText>0</w:instrText>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AAPALiveHoursMax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AAPAEndHoursMax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4"/>
        </w:rPr>
        <w:instrText>AAPA Category 1 CME Credit(s</w:instrText>
      </w:r>
      <w:r w:rsidR="00154A54">
        <w:rPr>
          <w:rFonts w:ascii="Arial" w:eastAsia="Times New Roman" w:hAnsi="Arial" w:cs="Arial"/>
          <w:sz w:val="24"/>
          <w:szCs w:val="24"/>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APAHoursMax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APA CE Credit(s)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00820EAE">
        <w:rPr>
          <w:rFonts w:ascii="Arial" w:eastAsia="Times New Roman" w:hAnsi="Arial" w:cs="Arial"/>
          <w:sz w:val="24"/>
          <w:szCs w:val="21"/>
        </w:rPr>
        <w:fldChar w:fldCharType="begin"/>
      </w:r>
      <w:r w:rsidR="00820EAE">
        <w:rPr>
          <w:rFonts w:ascii="Arial" w:eastAsia="Times New Roman" w:hAnsi="Arial" w:cs="Arial"/>
          <w:sz w:val="24"/>
          <w:szCs w:val="21"/>
        </w:rPr>
        <w:instrText xml:space="preserve"> IF </w:instrText>
      </w:r>
      <w:r w:rsidR="00820EAE">
        <w:rPr>
          <w:rFonts w:ascii="Arial" w:eastAsia="Times New Roman" w:hAnsi="Arial" w:cs="Arial"/>
          <w:sz w:val="24"/>
          <w:szCs w:val="21"/>
        </w:rPr>
        <w:instrText>0.00</w:instrText>
      </w:r>
      <w:r w:rsidR="00820EAE">
        <w:rPr>
          <w:rFonts w:ascii="Arial" w:eastAsia="Times New Roman" w:hAnsi="Arial" w:cs="Arial"/>
          <w:sz w:val="24"/>
          <w:szCs w:val="21"/>
        </w:rPr>
        <w:instrText xml:space="preserve"> &gt; 0 "</w:instrText>
      </w:r>
      <w:r w:rsidR="00820EAE">
        <w:rPr>
          <w:rFonts w:ascii="Arial" w:eastAsia="Times New Roman" w:hAnsi="Arial" w:cs="Arial"/>
          <w:sz w:val="24"/>
          <w:szCs w:val="21"/>
        </w:rPr>
        <w:fldChar w:fldCharType="begin"/>
      </w:r>
      <w:r w:rsidR="00820EAE">
        <w:rPr>
          <w:rFonts w:ascii="Arial" w:eastAsia="Times New Roman" w:hAnsi="Arial" w:cs="Arial"/>
          <w:sz w:val="24"/>
          <w:szCs w:val="21"/>
        </w:rPr>
        <w:instrText xml:space="preserve"> MERGEFIELD CDRHoursMax \# 0.00# </w:instrText>
      </w:r>
      <w:r w:rsidR="00820EAE">
        <w:rPr>
          <w:rFonts w:ascii="Arial" w:eastAsia="Times New Roman" w:hAnsi="Arial" w:cs="Arial"/>
          <w:sz w:val="24"/>
          <w:szCs w:val="21"/>
        </w:rPr>
        <w:fldChar w:fldCharType="separate"/>
      </w:r>
      <w:r w:rsidR="00820EAE">
        <w:rPr>
          <w:rFonts w:ascii="Arial" w:eastAsia="Times New Roman" w:hAnsi="Arial" w:cs="Arial"/>
          <w:sz w:val="24"/>
          <w:szCs w:val="21"/>
        </w:rPr>
        <w:fldChar w:fldCharType="end"/>
      </w:r>
      <w:r w:rsidR="00820EAE">
        <w:rPr>
          <w:rFonts w:ascii="Arial" w:eastAsia="Times New Roman" w:hAnsi="Arial" w:cs="Arial"/>
          <w:sz w:val="24"/>
          <w:szCs w:val="21"/>
        </w:rPr>
        <w:instrText xml:space="preserve"> CDR Credit(s); " "" </w:instrText>
      </w:r>
      <w:r w:rsidR="00820EAE">
        <w:rPr>
          <w:rFonts w:ascii="Arial" w:eastAsia="Times New Roman" w:hAnsi="Arial" w:cs="Arial"/>
          <w:sz w:val="24"/>
          <w:szCs w:val="21"/>
        </w:rPr>
        <w:fldChar w:fldCharType="separate"/>
      </w:r>
      <w:r w:rsidR="00820EAE">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ABIM2HoursMax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ABIM MOC Part 2 Point(s)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ABP2HoursMax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ABP MOC Part 2 Point(s)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Pr>
          <w:rFonts w:ascii="Arial" w:eastAsia="Times New Roman" w:hAnsi="Arial" w:cs="Arial"/>
          <w:sz w:val="24"/>
          <w:szCs w:val="21"/>
        </w:rPr>
        <w:fldChar w:fldCharType="begin"/>
      </w:r>
      <w:r>
        <w:rPr>
          <w:rFonts w:ascii="Arial" w:eastAsia="Times New Roman" w:hAnsi="Arial" w:cs="Arial"/>
          <w:sz w:val="24"/>
          <w:szCs w:val="21"/>
        </w:rPr>
        <w:instrText xml:space="preserve"> MERGEFIELD ABA2HoursMax \# 0.00# </w:instrText>
      </w:r>
      <w:r>
        <w:rPr>
          <w:rFonts w:ascii="Arial" w:eastAsia="Times New Roman" w:hAnsi="Arial" w:cs="Arial"/>
          <w:sz w:val="24"/>
          <w:szCs w:val="21"/>
        </w:rPr>
        <w:fldChar w:fldCharType="separate"/>
      </w:r>
      <w:r>
        <w:rPr>
          <w:rFonts w:ascii="Arial" w:eastAsia="Times New Roman" w:hAnsi="Arial" w:cs="Arial"/>
          <w:sz w:val="24"/>
          <w:szCs w:val="21"/>
        </w:rPr>
        <w:fldChar w:fldCharType="end"/>
      </w:r>
      <w:r>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ABA MOC Part II Point(s)</w:instrText>
      </w:r>
      <w:r>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9D238E"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Pr>
          <w:rFonts w:ascii="Arial" w:eastAsia="Times New Roman" w:hAnsi="Arial" w:cs="Arial"/>
          <w:sz w:val="24"/>
          <w:szCs w:val="21"/>
        </w:rPr>
        <w:fldChar w:fldCharType="begin"/>
      </w:r>
      <w:r>
        <w:rPr>
          <w:rFonts w:ascii="Arial" w:eastAsia="Times New Roman" w:hAnsi="Arial" w:cs="Arial"/>
          <w:sz w:val="24"/>
          <w:szCs w:val="21"/>
        </w:rPr>
        <w:instrText xml:space="preserve"> MERGEFIELD ABPathHoursMax \# 0.00# </w:instrText>
      </w:r>
      <w:r>
        <w:rPr>
          <w:rFonts w:ascii="Arial" w:eastAsia="Times New Roman" w:hAnsi="Arial" w:cs="Arial"/>
          <w:sz w:val="24"/>
          <w:szCs w:val="21"/>
        </w:rPr>
        <w:fldChar w:fldCharType="separate"/>
      </w:r>
      <w:r>
        <w:rPr>
          <w:rFonts w:ascii="Arial" w:eastAsia="Times New Roman" w:hAnsi="Arial" w:cs="Arial"/>
          <w:sz w:val="24"/>
          <w:szCs w:val="21"/>
        </w:rPr>
        <w:fldChar w:fldCharType="end"/>
      </w:r>
      <w:r>
        <w:rPr>
          <w:rFonts w:ascii="Arial" w:eastAsia="Times New Roman" w:hAnsi="Arial" w:cs="Arial"/>
          <w:sz w:val="24"/>
          <w:szCs w:val="21"/>
        </w:rPr>
        <w:instrText xml:space="preserve"> </w:instrText>
      </w:r>
      <w:r w:rsidRPr="009D238E" w:rsidR="00A43AB2">
        <w:rPr>
          <w:rFonts w:ascii="Arial" w:eastAsia="Times New Roman" w:hAnsi="Arial" w:cs="Arial"/>
          <w:sz w:val="24"/>
          <w:szCs w:val="21"/>
        </w:rPr>
        <w:instrText>MOC ABPath Point(s)</w:instrText>
      </w:r>
      <w:r>
        <w:rPr>
          <w:rFonts w:ascii="Arial" w:eastAsia="Times New Roman" w:hAnsi="Arial" w:cs="Arial"/>
          <w:sz w:val="24"/>
          <w:szCs w:val="21"/>
        </w:rPr>
        <w:instrText xml:space="preserve">; </w:instrText>
      </w:r>
      <w:r w:rsidRPr="009D238E" w:rsidR="00A43AB2">
        <w:rPr>
          <w:rFonts w:ascii="Arial" w:eastAsia="Times New Roman" w:hAnsi="Arial" w:cs="Arial"/>
          <w:sz w:val="24"/>
          <w:szCs w:val="21"/>
        </w:rPr>
        <w:instrText xml:space="preserve">" "" </w:instrText>
      </w:r>
      <w:r w:rsidRPr="009D238E" w:rsidR="00A43AB2">
        <w:rPr>
          <w:rFonts w:ascii="Arial" w:eastAsia="Times New Roman" w:hAnsi="Arial" w:cs="Arial"/>
          <w:sz w:val="24"/>
          <w:szCs w:val="21"/>
        </w:rPr>
        <w:fldChar w:fldCharType="separate"/>
      </w:r>
      <w:r w:rsidRPr="009D238E" w:rsidR="00A43AB2">
        <w:rPr>
          <w:rFonts w:ascii="Arial" w:eastAsia="Times New Roman" w:hAnsi="Arial" w:cs="Arial"/>
          <w:sz w:val="24"/>
          <w:szCs w:val="21"/>
        </w:rPr>
        <w:fldChar w:fldCharType="end"/>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IF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&gt; 0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Non-Physician Credit(s); " ""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t>1.00</w:t>
      </w:r>
      <w:r w:rsidR="00B37411">
        <w:rPr>
          <w:rFonts w:ascii="Arial" w:eastAsia="Times New Roman" w:hAnsi="Arial" w:cs="Arial"/>
          <w:sz w:val="24"/>
          <w:szCs w:val="21"/>
        </w:rPr>
        <w:t xml:space="preserve"> Non-Physician Credit(s); </w:t>
      </w:r>
      <w:r w:rsidR="00B37411">
        <w:rPr>
          <w:rFonts w:ascii="Arial" w:eastAsia="Times New Roman" w:hAnsi="Arial" w:cs="Arial"/>
          <w:sz w:val="24"/>
          <w:szCs w:val="21"/>
        </w:rPr>
        <w:fldChar w:fldCharType="end"/>
      </w:r>
    </w:p>
    <w:p w:rsidR="00DD5660" w:rsidRPr="00DD5660" w:rsidP="00DD5660">
      <w:pPr>
        <w:contextualSpacing/>
        <w:rPr>
          <w:rFonts w:ascii="Arial" w:hAnsi="Arial" w:cs="Arial"/>
          <w:sz w:val="20"/>
          <w:szCs w:val="20"/>
        </w:rPr>
      </w:pPr>
    </w:p>
    <w:p w:rsidR="00A57FC9" w:rsidP="006C7647">
      <w:pPr>
        <w:spacing w:after="0" w:line="240" w:lineRule="auto"/>
        <w:contextualSpacing/>
        <w:rPr>
          <w:rFonts w:ascii="Arial" w:hAnsi="Arial" w:cs="Arial"/>
          <w:b/>
          <w:sz w:val="24"/>
          <w:szCs w:val="24"/>
        </w:rPr>
      </w:pPr>
      <w:r>
        <w:rPr>
          <w:rFonts w:ascii="Arial" w:hAnsi="Arial" w:cs="Arial"/>
          <w:b/>
          <w:sz w:val="24"/>
          <w:szCs w:val="24"/>
        </w:rPr>
        <w:t>Disclosure of Financial Relationships:</w:t>
      </w:r>
    </w:p>
    <w:p w:rsidR="00A57FC9" w:rsidP="006C7647">
      <w:pPr>
        <w:spacing w:after="0" w:line="240" w:lineRule="auto"/>
        <w:contextualSpacing/>
        <w:rPr>
          <w:rFonts w:ascii="Arial" w:hAnsi="Arial" w:cs="Arial"/>
          <w:sz w:val="24"/>
          <w:szCs w:val="24"/>
        </w:rPr>
      </w:pPr>
      <w:r>
        <w:rPr>
          <w:rFonts w:ascii="Arial" w:hAnsi="Arial" w:cs="Arial"/>
          <w:sz w:val="24"/>
          <w:szCs w:val="24"/>
        </w:rPr>
        <w:t>The following planners, moderators or speakers have the following financial relationship(s) with commercial interests to disclose:</w:t>
      </w:r>
    </w:p>
    <w:p w:rsidR="00386F24" w:rsidRPr="00386F24" w:rsidP="006C7647">
      <w:pPr>
        <w:spacing w:after="0" w:line="240" w:lineRule="auto"/>
        <w:contextualSpacing/>
        <w:rPr>
          <w:rFonts w:ascii="Arial" w:hAnsi="Arial" w:cs="Arial"/>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040"/>
        <w:gridCol w:w="3040"/>
        <w:gridCol w:w="405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Jillian M Barnes,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 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Jonathan Bourque,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Lorraine L McElwain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- 09/30/2026</w:t>
            </w:r>
          </w:p>
        </w:tc>
      </w:tr>
    </w:tbl>
    <w:p w:rsidR="00552F5E" w:rsidRPr="00386F24">
      <w:pPr>
        <w:bidi w:val="0"/>
        <w:spacing w:after="280" w:afterAutospacing="1"/>
        <w:rPr>
          <w:rFonts w:ascii="Arial" w:hAnsi="Arial" w:cs="Arial"/>
          <w:sz w:val="24"/>
          <w:szCs w:val="24"/>
        </w:rPr>
      </w:pPr>
    </w:p>
    <w:sectPr w:rsidSect="00386F24">
      <w:pgSz w:w="12240" w:h="15840"/>
      <w:pgMar w:top="108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 w:name="Hin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 w:type="table" w:customStyle="1" w:styleId="TableGrid1">
    <w:name w:val="Table Grid1"/>
    <w:basedOn w:val="TableNormal"/>
    <w:next w:val="TableGrid"/>
    <w:rsid w:val="002A779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639e86e3-c6cb-4009-9315-13e2c40ba069}" enabled="1" method="Standard" siteId="{acbd2f92-746c-49e2-8f2b-a3cd9620885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798</Words>
  <Characters>4550</Characters>
  <Application>Microsoft Office Word</Application>
  <DocSecurity>0</DocSecurity>
  <Lines>37</Lines>
  <Paragraphs>10</Paragraphs>
  <ScaleCrop>false</ScaleCrop>
  <Company>A</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Stanley, Laura</cp:lastModifiedBy>
  <cp:revision>2</cp:revision>
  <dcterms:created xsi:type="dcterms:W3CDTF">2026-05-14T16:41:00Z</dcterms:created>
  <dcterms:modified xsi:type="dcterms:W3CDTF">2026-05-14T16:41:00Z</dcterms:modified>
</cp:coreProperties>
</file>